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783C7F16"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w:t>
      </w:r>
      <w:r w:rsidR="007E700B">
        <w:rPr>
          <w:rFonts w:cs="Courier New"/>
          <w:sz w:val="24"/>
          <w:szCs w:val="24"/>
          <w:lang w:val="de-DE"/>
        </w:rPr>
        <w:t>6bis</w:t>
      </w:r>
      <w:r w:rsidR="004E6A15">
        <w:rPr>
          <w:rFonts w:cs="Courier New"/>
          <w:sz w:val="24"/>
          <w:szCs w:val="24"/>
          <w:lang w:val="de-DE"/>
        </w:rPr>
        <w:tab/>
      </w:r>
      <w:r w:rsidR="00732840" w:rsidRPr="00732840">
        <w:rPr>
          <w:rFonts w:cs="Courier New"/>
          <w:sz w:val="24"/>
          <w:szCs w:val="24"/>
          <w:lang w:val="de-DE"/>
        </w:rPr>
        <w:t>R4-1804661</w:t>
      </w:r>
    </w:p>
    <w:p w14:paraId="2DC4E95A" w14:textId="6011CFCA" w:rsidR="009C1F3F" w:rsidRDefault="007E700B" w:rsidP="00AC033F">
      <w:pPr>
        <w:pStyle w:val="Header"/>
        <w:jc w:val="both"/>
        <w:rPr>
          <w:rFonts w:cs="Courier New"/>
          <w:sz w:val="24"/>
          <w:szCs w:val="24"/>
        </w:rPr>
      </w:pPr>
      <w:r>
        <w:rPr>
          <w:rFonts w:cs="Courier New"/>
          <w:sz w:val="24"/>
          <w:szCs w:val="24"/>
        </w:rPr>
        <w:t>Melbourne, AU,</w:t>
      </w:r>
      <w:r w:rsidRPr="00BB2C23">
        <w:rPr>
          <w:rFonts w:cs="Courier New"/>
          <w:sz w:val="24"/>
          <w:szCs w:val="24"/>
        </w:rPr>
        <w:t xml:space="preserve"> </w:t>
      </w:r>
      <w:r>
        <w:rPr>
          <w:rFonts w:cs="Courier New"/>
          <w:sz w:val="24"/>
          <w:szCs w:val="24"/>
        </w:rPr>
        <w:t>April 16</w:t>
      </w:r>
      <w:r w:rsidRPr="00E13AFB">
        <w:rPr>
          <w:rFonts w:cs="Courier New"/>
          <w:sz w:val="24"/>
          <w:szCs w:val="24"/>
          <w:vertAlign w:val="superscript"/>
        </w:rPr>
        <w:t>th</w:t>
      </w:r>
      <w:r>
        <w:rPr>
          <w:rFonts w:cs="Courier New"/>
          <w:sz w:val="24"/>
          <w:szCs w:val="24"/>
        </w:rPr>
        <w:t xml:space="preserve"> </w:t>
      </w:r>
      <w:r w:rsidRPr="00DB3907">
        <w:rPr>
          <w:rFonts w:cs="Courier New"/>
          <w:sz w:val="24"/>
          <w:szCs w:val="24"/>
        </w:rPr>
        <w:t xml:space="preserve">– </w:t>
      </w:r>
      <w:r>
        <w:rPr>
          <w:rFonts w:cs="Courier New"/>
          <w:sz w:val="24"/>
          <w:szCs w:val="24"/>
        </w:rPr>
        <w:t>20</w:t>
      </w:r>
      <w:r w:rsidRPr="00F134A6">
        <w:rPr>
          <w:rFonts w:cs="Courier New"/>
          <w:sz w:val="24"/>
          <w:szCs w:val="24"/>
          <w:vertAlign w:val="superscript"/>
        </w:rPr>
        <w:t>th</w:t>
      </w:r>
      <w:r>
        <w:rPr>
          <w:rFonts w:cs="Courier New"/>
          <w:sz w:val="24"/>
          <w:szCs w:val="24"/>
        </w:rPr>
        <w:t>, 2018</w:t>
      </w:r>
    </w:p>
    <w:p w14:paraId="265D6182" w14:textId="77777777" w:rsidR="007E700B" w:rsidRPr="00F56E56" w:rsidRDefault="007E700B"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6282A8B8"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7E700B">
        <w:rPr>
          <w:rFonts w:ascii="Arial" w:hAnsi="Arial"/>
          <w:sz w:val="24"/>
          <w:lang w:val="en-US"/>
        </w:rPr>
        <w:t>7.4.8.</w:t>
      </w:r>
      <w:r w:rsidR="00A5032F">
        <w:rPr>
          <w:rFonts w:ascii="Arial" w:hAnsi="Arial"/>
          <w:sz w:val="24"/>
          <w:lang w:val="en-US"/>
        </w:rPr>
        <w:t>12</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0BA7399B"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5032F" w:rsidRPr="00A5032F">
        <w:rPr>
          <w:rFonts w:ascii="Arial" w:hAnsi="Arial"/>
          <w:sz w:val="24"/>
          <w:lang w:val="en-US"/>
        </w:rPr>
        <w:t>Definition of UE beam correspondence requirement for FR2</w:t>
      </w:r>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F3524CB" w14:textId="00EA8950" w:rsidR="00B47DD5" w:rsidRDefault="002E2EE9" w:rsidP="00D85C68">
      <w:pPr>
        <w:jc w:val="both"/>
      </w:pPr>
      <w:r>
        <w:t xml:space="preserve">The UE </w:t>
      </w:r>
      <w:r w:rsidR="00B47DD5">
        <w:t>beam correspondence was extensively discussed in last RAN4 meetings</w:t>
      </w:r>
      <w:r w:rsidR="00545241">
        <w:t>.</w:t>
      </w:r>
      <w:r w:rsidR="00B47DD5">
        <w:t xml:space="preserve"> Although several proposals were made </w:t>
      </w:r>
      <w:r w:rsidR="0036551D">
        <w:t>on</w:t>
      </w:r>
      <w:r w:rsidR="000122B2">
        <w:t xml:space="preserve"> how</w:t>
      </w:r>
      <w:r w:rsidR="00B47DD5">
        <w:t xml:space="preserve"> to test the requirement, the requirement</w:t>
      </w:r>
      <w:r w:rsidR="00545241">
        <w:t xml:space="preserve"> </w:t>
      </w:r>
      <w:r w:rsidR="00B47DD5">
        <w:t>itself has not been defined yet in TS 38.101-2.</w:t>
      </w:r>
    </w:p>
    <w:p w14:paraId="3C503B00" w14:textId="41975C9C" w:rsidR="00D85C68" w:rsidRPr="00A23B5A" w:rsidRDefault="00B47DD5" w:rsidP="00D85C68">
      <w:pPr>
        <w:jc w:val="both"/>
        <w:rPr>
          <w:b/>
        </w:rPr>
      </w:pPr>
      <w:r>
        <w:t>In this contribution we propose to first focus on the definition of the minimum requirement</w:t>
      </w:r>
      <w:r w:rsidR="000122B2">
        <w:t xml:space="preserve"> and later finalizing testing aspects</w:t>
      </w:r>
      <w:r>
        <w:t xml:space="preserve">.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62B56CCC" w14:textId="564DF4FD" w:rsidR="00183F44" w:rsidRDefault="00B47DD5" w:rsidP="00A5032F">
      <w:pPr>
        <w:jc w:val="both"/>
        <w:rPr>
          <w:lang w:val="en-US"/>
        </w:rPr>
      </w:pPr>
      <w:r>
        <w:rPr>
          <w:lang w:val="en-US"/>
        </w:rPr>
        <w:t>The need of a beam correspondence</w:t>
      </w:r>
      <w:r w:rsidR="00183F44">
        <w:rPr>
          <w:lang w:val="en-US"/>
        </w:rPr>
        <w:t xml:space="preserve"> </w:t>
      </w:r>
      <w:r>
        <w:rPr>
          <w:lang w:val="en-US"/>
        </w:rPr>
        <w:t xml:space="preserve">requirement was originally brought up in the first RAN4 ad hoc meeting on NR </w:t>
      </w:r>
      <w:r>
        <w:rPr>
          <w:lang w:val="en-US"/>
        </w:rPr>
        <w:fldChar w:fldCharType="begin"/>
      </w:r>
      <w:r>
        <w:rPr>
          <w:lang w:val="en-US"/>
        </w:rPr>
        <w:instrText xml:space="preserve"> REF _Ref510694526 \r \h </w:instrText>
      </w:r>
      <w:r>
        <w:rPr>
          <w:lang w:val="en-US"/>
        </w:rPr>
      </w:r>
      <w:r>
        <w:rPr>
          <w:lang w:val="en-US"/>
        </w:rPr>
        <w:fldChar w:fldCharType="separate"/>
      </w:r>
      <w:r w:rsidR="0036551D">
        <w:rPr>
          <w:lang w:val="en-US"/>
        </w:rPr>
        <w:t>[1]</w:t>
      </w:r>
      <w:r>
        <w:rPr>
          <w:lang w:val="en-US"/>
        </w:rPr>
        <w:fldChar w:fldCharType="end"/>
      </w:r>
      <w:r>
        <w:rPr>
          <w:lang w:val="en-US"/>
        </w:rPr>
        <w:t xml:space="preserve">. </w:t>
      </w:r>
    </w:p>
    <w:p w14:paraId="74094449" w14:textId="640CE997" w:rsidR="00183F44" w:rsidRDefault="001F7671" w:rsidP="00A5032F">
      <w:pPr>
        <w:jc w:val="both"/>
        <w:rPr>
          <w:lang w:val="en-US"/>
        </w:rPr>
      </w:pPr>
      <w:r>
        <w:rPr>
          <w:lang w:val="en-US"/>
        </w:rPr>
        <w:t>UE T</w:t>
      </w:r>
      <w:r w:rsidR="00183F44">
        <w:rPr>
          <w:lang w:val="en-US"/>
        </w:rPr>
        <w:t>x/R</w:t>
      </w:r>
      <w:r>
        <w:rPr>
          <w:lang w:val="en-US"/>
        </w:rPr>
        <w:t>x</w:t>
      </w:r>
      <w:r w:rsidR="00183F44">
        <w:rPr>
          <w:lang w:val="en-US"/>
        </w:rPr>
        <w:t xml:space="preserve"> beam correspondence (or reciprocity)</w:t>
      </w:r>
      <w:r>
        <w:rPr>
          <w:lang w:val="en-US"/>
        </w:rPr>
        <w:t xml:space="preserve"> was defined in RAN1 as follows </w:t>
      </w:r>
      <w:r>
        <w:rPr>
          <w:lang w:val="en-US"/>
        </w:rPr>
        <w:fldChar w:fldCharType="begin"/>
      </w:r>
      <w:r>
        <w:rPr>
          <w:lang w:val="en-US"/>
        </w:rPr>
        <w:instrText xml:space="preserve"> REF _Ref510695498 \r \h </w:instrText>
      </w:r>
      <w:r>
        <w:rPr>
          <w:lang w:val="en-US"/>
        </w:rPr>
      </w:r>
      <w:r>
        <w:rPr>
          <w:lang w:val="en-US"/>
        </w:rPr>
        <w:fldChar w:fldCharType="separate"/>
      </w:r>
      <w:r w:rsidR="0036551D">
        <w:rPr>
          <w:lang w:val="en-US"/>
        </w:rPr>
        <w:t>[2]</w:t>
      </w:r>
      <w:r>
        <w:rPr>
          <w:lang w:val="en-US"/>
        </w:rPr>
        <w:fldChar w:fldCharType="end"/>
      </w:r>
      <w:r>
        <w:rPr>
          <w:lang w:val="en-US"/>
        </w:rPr>
        <w:t>:</w:t>
      </w:r>
    </w:p>
    <w:p w14:paraId="021360CD" w14:textId="77777777" w:rsidR="007D5462" w:rsidRPr="001F7671" w:rsidRDefault="008E2C91" w:rsidP="001F7671">
      <w:pPr>
        <w:numPr>
          <w:ilvl w:val="0"/>
          <w:numId w:val="43"/>
        </w:numPr>
        <w:jc w:val="both"/>
        <w:rPr>
          <w:lang w:val="en-US"/>
        </w:rPr>
      </w:pPr>
      <w:r w:rsidRPr="001F7671">
        <w:rPr>
          <w:b/>
          <w:bCs/>
          <w:lang w:val="en-US"/>
        </w:rPr>
        <w:t xml:space="preserve">Tx/Rx beam reciprocity at UE holds </w:t>
      </w:r>
      <w:r w:rsidRPr="001F7671">
        <w:rPr>
          <w:lang w:val="en-US"/>
        </w:rPr>
        <w:t xml:space="preserve">if at least one of the following is satisfied: </w:t>
      </w:r>
    </w:p>
    <w:p w14:paraId="3C75497A" w14:textId="77777777" w:rsidR="007D5462" w:rsidRPr="001F7671" w:rsidRDefault="008E2C91" w:rsidP="001F7671">
      <w:pPr>
        <w:numPr>
          <w:ilvl w:val="1"/>
          <w:numId w:val="43"/>
        </w:numPr>
        <w:jc w:val="both"/>
        <w:rPr>
          <w:lang w:val="en-US"/>
        </w:rPr>
      </w:pPr>
      <w:r w:rsidRPr="001F7671">
        <w:rPr>
          <w:lang w:val="en-US"/>
        </w:rPr>
        <w:t xml:space="preserve">UE </w:t>
      </w:r>
      <w:proofErr w:type="gramStart"/>
      <w:r w:rsidRPr="001F7671">
        <w:rPr>
          <w:lang w:val="en-US"/>
        </w:rPr>
        <w:t>is able to</w:t>
      </w:r>
      <w:proofErr w:type="gramEnd"/>
      <w:r w:rsidRPr="001F7671">
        <w:rPr>
          <w:lang w:val="en-US"/>
        </w:rPr>
        <w:t xml:space="preserve"> determine a UE Tx beam for the uplink transmission based on UE’s downlink measurement on UE’s Rx beams.</w:t>
      </w:r>
    </w:p>
    <w:p w14:paraId="7A909F37" w14:textId="0D039532" w:rsidR="007D5462" w:rsidRPr="001F7671" w:rsidRDefault="008E2C91" w:rsidP="001F7671">
      <w:pPr>
        <w:numPr>
          <w:ilvl w:val="1"/>
          <w:numId w:val="43"/>
        </w:numPr>
        <w:jc w:val="both"/>
        <w:rPr>
          <w:lang w:val="en-US"/>
        </w:rPr>
      </w:pPr>
      <w:r w:rsidRPr="001F7671">
        <w:t xml:space="preserve">UE </w:t>
      </w:r>
      <w:proofErr w:type="gramStart"/>
      <w:r w:rsidRPr="001F7671">
        <w:t>is able to</w:t>
      </w:r>
      <w:proofErr w:type="gramEnd"/>
      <w:r w:rsidRPr="001F7671">
        <w:t xml:space="preserve"> determine a</w:t>
      </w:r>
      <w:r w:rsidRPr="001F7671">
        <w:rPr>
          <w:lang w:val="en-US"/>
        </w:rPr>
        <w:t xml:space="preserve"> </w:t>
      </w:r>
      <w:r w:rsidRPr="001F7671">
        <w:t xml:space="preserve">UE Rx beam for the downlink reception based on </w:t>
      </w:r>
      <w:r w:rsidR="001F7671" w:rsidRPr="001F7671">
        <w:t>Transmission Reception Point</w:t>
      </w:r>
      <w:r w:rsidRPr="001F7671">
        <w:t xml:space="preserve"> indication based on uplink measurement on UE’s Tx beam.</w:t>
      </w:r>
    </w:p>
    <w:p w14:paraId="609A5AAB" w14:textId="651BBC07" w:rsidR="00B47DD5" w:rsidRDefault="00B47DD5" w:rsidP="00A5032F">
      <w:pPr>
        <w:jc w:val="both"/>
        <w:rPr>
          <w:lang w:val="en-US"/>
        </w:rPr>
      </w:pPr>
      <w:r>
        <w:rPr>
          <w:lang w:val="en-US"/>
        </w:rPr>
        <w:t xml:space="preserve">In summary, the key role of beam correspondence </w:t>
      </w:r>
      <w:r w:rsidR="00183F44">
        <w:rPr>
          <w:lang w:val="en-US"/>
        </w:rPr>
        <w:t xml:space="preserve">(or reciprocity) </w:t>
      </w:r>
      <w:r>
        <w:rPr>
          <w:lang w:val="en-US"/>
        </w:rPr>
        <w:t xml:space="preserve">in </w:t>
      </w:r>
      <w:proofErr w:type="spellStart"/>
      <w:r>
        <w:rPr>
          <w:lang w:val="en-US"/>
        </w:rPr>
        <w:t>mmW</w:t>
      </w:r>
      <w:proofErr w:type="spellEnd"/>
      <w:r>
        <w:rPr>
          <w:lang w:val="en-US"/>
        </w:rPr>
        <w:t xml:space="preserve"> communication consists in the possibility to use beam estimation in DL for UL transmission and vice versa. In case of correspondence between Rx and Tx beams, the results of the DL beam sweeping procedure is enough to find the optimal beam pair for both DL and UL transmissions. On the other hand, if correspondence does not hold, </w:t>
      </w:r>
      <w:r w:rsidR="00183F44">
        <w:rPr>
          <w:lang w:val="en-US"/>
        </w:rPr>
        <w:t xml:space="preserve">beam sweeping procedure </w:t>
      </w:r>
      <w:proofErr w:type="gramStart"/>
      <w:r w:rsidR="00183F44">
        <w:rPr>
          <w:lang w:val="en-US"/>
        </w:rPr>
        <w:t>has to</w:t>
      </w:r>
      <w:proofErr w:type="gramEnd"/>
      <w:r w:rsidR="00183F44">
        <w:rPr>
          <w:lang w:val="en-US"/>
        </w:rPr>
        <w:t xml:space="preserve"> be repeated for UL incurring additional overhead and also increasing the UE power consumption.</w:t>
      </w:r>
    </w:p>
    <w:p w14:paraId="273006DA" w14:textId="0EE6E5FD" w:rsidR="00183F44" w:rsidRDefault="00183F44" w:rsidP="00A5032F">
      <w:pPr>
        <w:jc w:val="both"/>
        <w:rPr>
          <w:lang w:val="en-US"/>
        </w:rPr>
      </w:pPr>
      <w:r>
        <w:rPr>
          <w:lang w:val="en-US"/>
        </w:rPr>
        <w:t xml:space="preserve">From the summary, </w:t>
      </w:r>
      <w:proofErr w:type="gramStart"/>
      <w:r>
        <w:rPr>
          <w:lang w:val="en-US"/>
        </w:rPr>
        <w:t>it is clear that UE</w:t>
      </w:r>
      <w:proofErr w:type="gramEnd"/>
      <w:r>
        <w:rPr>
          <w:lang w:val="en-US"/>
        </w:rPr>
        <w:t xml:space="preserve"> capable of beam correspondence will bring large benefits in terms of overall network efficiency. However,</w:t>
      </w:r>
      <w:r w:rsidR="001F7671">
        <w:rPr>
          <w:lang w:val="en-US"/>
        </w:rPr>
        <w:t xml:space="preserve"> achieving correspondence might be challenging for UE due</w:t>
      </w:r>
      <w:r w:rsidR="000122B2">
        <w:rPr>
          <w:lang w:val="en-US"/>
        </w:rPr>
        <w:t xml:space="preserve"> to</w:t>
      </w:r>
      <w:r w:rsidR="001F7671">
        <w:rPr>
          <w:lang w:val="en-US"/>
        </w:rPr>
        <w:t xml:space="preserve"> mismatches between Rx and Tx RF signal paths. </w:t>
      </w:r>
    </w:p>
    <w:p w14:paraId="02CD3B44" w14:textId="1EB2878A" w:rsidR="001F7671" w:rsidRDefault="001F7671" w:rsidP="00A5032F">
      <w:pPr>
        <w:jc w:val="both"/>
        <w:rPr>
          <w:lang w:val="en-US"/>
        </w:rPr>
      </w:pPr>
      <w:r>
        <w:rPr>
          <w:lang w:val="en-US"/>
        </w:rPr>
        <w:t>In last RAN4 meeting, companies focus</w:t>
      </w:r>
      <w:r w:rsidR="00EE5ABD">
        <w:rPr>
          <w:lang w:val="en-US"/>
        </w:rPr>
        <w:t>ed</w:t>
      </w:r>
      <w:r>
        <w:rPr>
          <w:lang w:val="en-US"/>
        </w:rPr>
        <w:t xml:space="preserve"> on </w:t>
      </w:r>
      <w:r w:rsidR="000122B2">
        <w:rPr>
          <w:lang w:val="en-US"/>
        </w:rPr>
        <w:t xml:space="preserve">the </w:t>
      </w:r>
      <w:r>
        <w:rPr>
          <w:lang w:val="en-US"/>
        </w:rPr>
        <w:t xml:space="preserve">test methods </w:t>
      </w:r>
      <w:r w:rsidR="000122B2">
        <w:rPr>
          <w:lang w:val="en-US"/>
        </w:rPr>
        <w:t xml:space="preserve">with the following </w:t>
      </w:r>
      <w:r>
        <w:rPr>
          <w:lang w:val="en-US"/>
        </w:rPr>
        <w:t xml:space="preserve">alternatives </w:t>
      </w:r>
      <w:r w:rsidR="000122B2">
        <w:rPr>
          <w:lang w:val="en-US"/>
        </w:rPr>
        <w:t>being proposed</w:t>
      </w:r>
      <w:r>
        <w:rPr>
          <w:lang w:val="en-US"/>
        </w:rPr>
        <w:t xml:space="preserve"> </w:t>
      </w:r>
      <w:r>
        <w:rPr>
          <w:lang w:val="en-US"/>
        </w:rPr>
        <w:fldChar w:fldCharType="begin"/>
      </w:r>
      <w:r>
        <w:rPr>
          <w:lang w:val="en-US"/>
        </w:rPr>
        <w:instrText xml:space="preserve"> REF _Ref510695498 \r \h </w:instrText>
      </w:r>
      <w:r>
        <w:rPr>
          <w:lang w:val="en-US"/>
        </w:rPr>
      </w:r>
      <w:r>
        <w:rPr>
          <w:lang w:val="en-US"/>
        </w:rPr>
        <w:fldChar w:fldCharType="separate"/>
      </w:r>
      <w:r w:rsidR="0036551D">
        <w:rPr>
          <w:lang w:val="en-US"/>
        </w:rPr>
        <w:t>[2]</w:t>
      </w:r>
      <w:r>
        <w:rPr>
          <w:lang w:val="en-US"/>
        </w:rPr>
        <w:fldChar w:fldCharType="end"/>
      </w:r>
      <w:r>
        <w:rPr>
          <w:lang w:val="en-US"/>
        </w:rPr>
        <w:t>:</w:t>
      </w:r>
    </w:p>
    <w:tbl>
      <w:tblPr>
        <w:tblW w:w="8472" w:type="dxa"/>
        <w:jc w:val="center"/>
        <w:tblCellMar>
          <w:left w:w="0" w:type="dxa"/>
          <w:right w:w="0" w:type="dxa"/>
        </w:tblCellMar>
        <w:tblLook w:val="0420" w:firstRow="1" w:lastRow="0" w:firstColumn="0" w:lastColumn="0" w:noHBand="0" w:noVBand="1"/>
      </w:tblPr>
      <w:tblGrid>
        <w:gridCol w:w="2424"/>
        <w:gridCol w:w="2974"/>
        <w:gridCol w:w="3074"/>
      </w:tblGrid>
      <w:tr w:rsidR="001F7671" w:rsidRPr="001F7671" w14:paraId="1F34D3C2" w14:textId="77777777" w:rsidTr="001F7671">
        <w:trPr>
          <w:trHeight w:val="333"/>
          <w:jc w:val="center"/>
        </w:trPr>
        <w:tc>
          <w:tcPr>
            <w:tcW w:w="24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F7D5B3" w14:textId="77777777" w:rsidR="001F7671" w:rsidRPr="001F7671" w:rsidRDefault="001F7671" w:rsidP="001F7671">
            <w:pPr>
              <w:spacing w:after="0"/>
              <w:jc w:val="both"/>
              <w:rPr>
                <w:rFonts w:ascii="Arial" w:hAnsi="Arial" w:cs="Arial"/>
                <w:szCs w:val="36"/>
                <w:lang w:val="it-IT" w:eastAsia="it-IT"/>
              </w:rPr>
            </w:pPr>
            <w:r w:rsidRPr="001F7671">
              <w:rPr>
                <w:rFonts w:eastAsia="MS Mincho"/>
                <w:b/>
                <w:bCs/>
                <w:color w:val="000000"/>
                <w:kern w:val="24"/>
                <w:szCs w:val="32"/>
                <w:lang w:val="en-US" w:eastAsia="it-IT"/>
              </w:rPr>
              <w:t>Test method</w:t>
            </w:r>
          </w:p>
        </w:tc>
        <w:tc>
          <w:tcPr>
            <w:tcW w:w="29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CE2AF1" w14:textId="77777777" w:rsidR="001F7671" w:rsidRPr="001F7671" w:rsidRDefault="001F7671" w:rsidP="001F7671">
            <w:pPr>
              <w:spacing w:after="0"/>
              <w:jc w:val="center"/>
              <w:rPr>
                <w:rFonts w:ascii="Arial" w:hAnsi="Arial" w:cs="Arial"/>
                <w:szCs w:val="36"/>
                <w:lang w:val="it-IT" w:eastAsia="it-IT"/>
              </w:rPr>
            </w:pPr>
            <w:r w:rsidRPr="001F7671">
              <w:rPr>
                <w:rFonts w:eastAsia="MS Mincho"/>
                <w:color w:val="000000"/>
                <w:kern w:val="24"/>
                <w:szCs w:val="32"/>
                <w:lang w:val="en-US" w:eastAsia="it-IT"/>
              </w:rPr>
              <w:t>Pros</w:t>
            </w:r>
          </w:p>
        </w:tc>
        <w:tc>
          <w:tcPr>
            <w:tcW w:w="3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521D25" w14:textId="77777777" w:rsidR="001F7671" w:rsidRPr="001F7671" w:rsidRDefault="001F7671" w:rsidP="001F7671">
            <w:pPr>
              <w:spacing w:after="0"/>
              <w:jc w:val="center"/>
              <w:rPr>
                <w:rFonts w:ascii="Arial" w:hAnsi="Arial" w:cs="Arial"/>
                <w:szCs w:val="36"/>
                <w:lang w:val="it-IT" w:eastAsia="it-IT"/>
              </w:rPr>
            </w:pPr>
            <w:r w:rsidRPr="001F7671">
              <w:rPr>
                <w:rFonts w:eastAsia="MS Mincho"/>
                <w:color w:val="000000"/>
                <w:kern w:val="24"/>
                <w:szCs w:val="32"/>
                <w:lang w:val="en-US" w:eastAsia="it-IT"/>
              </w:rPr>
              <w:t>Cons</w:t>
            </w:r>
          </w:p>
        </w:tc>
      </w:tr>
      <w:tr w:rsidR="001F7671" w:rsidRPr="001F7671" w14:paraId="324F2D9A" w14:textId="77777777" w:rsidTr="001F7671">
        <w:trPr>
          <w:trHeight w:val="1358"/>
          <w:jc w:val="center"/>
        </w:trPr>
        <w:tc>
          <w:tcPr>
            <w:tcW w:w="24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AC7F9C" w14:textId="742B2FCA" w:rsidR="001F7671" w:rsidRPr="001F7671" w:rsidRDefault="001F7671" w:rsidP="001F7671">
            <w:pPr>
              <w:spacing w:after="0"/>
              <w:jc w:val="both"/>
              <w:rPr>
                <w:rFonts w:ascii="Arial" w:hAnsi="Arial" w:cs="Arial"/>
                <w:szCs w:val="36"/>
                <w:lang w:val="it-IT" w:eastAsia="it-IT"/>
              </w:rPr>
            </w:pPr>
            <w:r w:rsidRPr="001F7671">
              <w:rPr>
                <w:rFonts w:eastAsia="MS Mincho"/>
                <w:color w:val="000000"/>
                <w:kern w:val="24"/>
                <w:szCs w:val="32"/>
                <w:lang w:val="en-US" w:eastAsia="it-IT"/>
              </w:rPr>
              <w:t>by LGE</w:t>
            </w:r>
            <w:r>
              <w:rPr>
                <w:rFonts w:eastAsia="MS Mincho"/>
                <w:color w:val="000000"/>
                <w:kern w:val="24"/>
                <w:szCs w:val="32"/>
                <w:lang w:val="en-US" w:eastAsia="it-IT"/>
              </w:rPr>
              <w:t xml:space="preserve"> </w:t>
            </w:r>
            <w:r>
              <w:rPr>
                <w:rFonts w:eastAsia="MS Mincho"/>
                <w:color w:val="000000"/>
                <w:kern w:val="24"/>
                <w:szCs w:val="32"/>
                <w:lang w:val="en-US" w:eastAsia="it-IT"/>
              </w:rPr>
              <w:fldChar w:fldCharType="begin"/>
            </w:r>
            <w:r>
              <w:rPr>
                <w:rFonts w:eastAsia="MS Mincho"/>
                <w:color w:val="000000"/>
                <w:kern w:val="24"/>
                <w:szCs w:val="32"/>
                <w:lang w:val="en-US" w:eastAsia="it-IT"/>
              </w:rPr>
              <w:instrText xml:space="preserve"> REF _Ref510695860 \r \h </w:instrText>
            </w:r>
            <w:r>
              <w:rPr>
                <w:rFonts w:eastAsia="MS Mincho"/>
                <w:color w:val="000000"/>
                <w:kern w:val="24"/>
                <w:szCs w:val="32"/>
                <w:lang w:val="en-US" w:eastAsia="it-IT"/>
              </w:rPr>
            </w:r>
            <w:r>
              <w:rPr>
                <w:rFonts w:eastAsia="MS Mincho"/>
                <w:color w:val="000000"/>
                <w:kern w:val="24"/>
                <w:szCs w:val="32"/>
                <w:lang w:val="en-US" w:eastAsia="it-IT"/>
              </w:rPr>
              <w:fldChar w:fldCharType="separate"/>
            </w:r>
            <w:r w:rsidR="0036551D">
              <w:rPr>
                <w:rFonts w:eastAsia="MS Mincho"/>
                <w:color w:val="000000"/>
                <w:kern w:val="24"/>
                <w:szCs w:val="32"/>
                <w:lang w:val="en-US" w:eastAsia="it-IT"/>
              </w:rPr>
              <w:t>[4]</w:t>
            </w:r>
            <w:r>
              <w:rPr>
                <w:rFonts w:eastAsia="MS Mincho"/>
                <w:color w:val="000000"/>
                <w:kern w:val="24"/>
                <w:szCs w:val="32"/>
                <w:lang w:val="en-US" w:eastAsia="it-IT"/>
              </w:rPr>
              <w:fldChar w:fldCharType="end"/>
            </w:r>
          </w:p>
        </w:tc>
        <w:tc>
          <w:tcPr>
            <w:tcW w:w="29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A85E1D" w14:textId="77777777" w:rsidR="001F7671" w:rsidRPr="001F7671" w:rsidRDefault="001F7671" w:rsidP="001F7671">
            <w:pPr>
              <w:spacing w:after="0"/>
              <w:rPr>
                <w:rFonts w:ascii="Arial" w:hAnsi="Arial" w:cs="Arial"/>
                <w:szCs w:val="36"/>
                <w:lang w:val="en-US" w:eastAsia="it-IT"/>
              </w:rPr>
            </w:pPr>
            <w:r w:rsidRPr="001F7671">
              <w:rPr>
                <w:rFonts w:eastAsia="Malgun Gothic"/>
                <w:color w:val="000000"/>
                <w:kern w:val="24"/>
                <w:szCs w:val="32"/>
                <w:lang w:val="en-US" w:eastAsia="it-IT"/>
              </w:rPr>
              <w:t>- Evaluate difference of direction and power between Tx and Rx beam</w:t>
            </w:r>
          </w:p>
        </w:tc>
        <w:tc>
          <w:tcPr>
            <w:tcW w:w="3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2F3B3B" w14:textId="77777777" w:rsidR="001F7671" w:rsidRPr="001F7671" w:rsidRDefault="001F7671" w:rsidP="001F7671">
            <w:pPr>
              <w:spacing w:after="0"/>
              <w:rPr>
                <w:rFonts w:ascii="Arial" w:hAnsi="Arial" w:cs="Arial"/>
                <w:szCs w:val="36"/>
                <w:lang w:val="en-US" w:eastAsia="it-IT"/>
              </w:rPr>
            </w:pPr>
            <w:r w:rsidRPr="001F7671">
              <w:rPr>
                <w:rFonts w:eastAsia="MS Mincho"/>
                <w:color w:val="000000"/>
                <w:kern w:val="24"/>
                <w:szCs w:val="32"/>
                <w:lang w:val="en-US" w:eastAsia="it-IT"/>
              </w:rPr>
              <w:t>- Not simple test compare with QC proposal</w:t>
            </w:r>
          </w:p>
          <w:p w14:paraId="68FFFEDA" w14:textId="77777777" w:rsidR="001F7671" w:rsidRPr="001F7671" w:rsidRDefault="001F7671" w:rsidP="001F7671">
            <w:pPr>
              <w:spacing w:after="0"/>
              <w:rPr>
                <w:rFonts w:ascii="Arial" w:hAnsi="Arial" w:cs="Arial"/>
                <w:szCs w:val="36"/>
                <w:lang w:val="en-US" w:eastAsia="it-IT"/>
              </w:rPr>
            </w:pPr>
            <w:r w:rsidRPr="001F7671">
              <w:rPr>
                <w:rFonts w:eastAsia="MS Mincho"/>
                <w:color w:val="000000"/>
                <w:kern w:val="24"/>
                <w:szCs w:val="32"/>
                <w:lang w:val="en-US" w:eastAsia="it-IT"/>
              </w:rPr>
              <w:t>- Need to know UE ant. Configuration and a lot of antennas.</w:t>
            </w:r>
          </w:p>
          <w:p w14:paraId="3FE0E8C9" w14:textId="77777777" w:rsidR="001F7671" w:rsidRPr="001F7671" w:rsidRDefault="001F7671" w:rsidP="001F7671">
            <w:pPr>
              <w:spacing w:after="0"/>
              <w:rPr>
                <w:rFonts w:ascii="Arial" w:hAnsi="Arial" w:cs="Arial"/>
                <w:szCs w:val="36"/>
                <w:lang w:val="en-US" w:eastAsia="it-IT"/>
              </w:rPr>
            </w:pPr>
            <w:r w:rsidRPr="001F7671">
              <w:rPr>
                <w:rFonts w:eastAsia="MS Mincho"/>
                <w:color w:val="000000"/>
                <w:kern w:val="24"/>
                <w:szCs w:val="32"/>
                <w:lang w:val="en-US" w:eastAsia="it-IT"/>
              </w:rPr>
              <w:t>- Difficult to decide the distance between antennas</w:t>
            </w:r>
          </w:p>
        </w:tc>
      </w:tr>
      <w:tr w:rsidR="001F7671" w:rsidRPr="001F7671" w14:paraId="6CBA3608" w14:textId="77777777" w:rsidTr="001F7671">
        <w:trPr>
          <w:trHeight w:val="1775"/>
          <w:jc w:val="center"/>
        </w:trPr>
        <w:tc>
          <w:tcPr>
            <w:tcW w:w="24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954AD5" w14:textId="0C2AA178" w:rsidR="001F7671" w:rsidRPr="001F7671" w:rsidRDefault="001F7671" w:rsidP="001F7671">
            <w:pPr>
              <w:spacing w:after="0"/>
              <w:jc w:val="both"/>
              <w:rPr>
                <w:rFonts w:ascii="Arial" w:hAnsi="Arial" w:cs="Arial"/>
                <w:szCs w:val="36"/>
                <w:lang w:val="it-IT" w:eastAsia="it-IT"/>
              </w:rPr>
            </w:pPr>
            <w:r w:rsidRPr="001F7671">
              <w:rPr>
                <w:rFonts w:eastAsia="MS Mincho"/>
                <w:color w:val="000000"/>
                <w:kern w:val="24"/>
                <w:szCs w:val="32"/>
                <w:lang w:val="en-US" w:eastAsia="it-IT"/>
              </w:rPr>
              <w:lastRenderedPageBreak/>
              <w:t>by MTK</w:t>
            </w:r>
            <w:r>
              <w:rPr>
                <w:rFonts w:eastAsia="MS Mincho"/>
                <w:color w:val="000000"/>
                <w:kern w:val="24"/>
                <w:szCs w:val="32"/>
                <w:lang w:val="en-US" w:eastAsia="it-IT"/>
              </w:rPr>
              <w:t xml:space="preserve"> </w:t>
            </w:r>
            <w:r>
              <w:rPr>
                <w:rFonts w:eastAsia="MS Mincho"/>
                <w:color w:val="000000"/>
                <w:kern w:val="24"/>
                <w:szCs w:val="32"/>
                <w:lang w:val="en-US" w:eastAsia="it-IT"/>
              </w:rPr>
              <w:fldChar w:fldCharType="begin"/>
            </w:r>
            <w:r>
              <w:rPr>
                <w:rFonts w:eastAsia="MS Mincho"/>
                <w:color w:val="000000"/>
                <w:kern w:val="24"/>
                <w:szCs w:val="32"/>
                <w:lang w:val="en-US" w:eastAsia="it-IT"/>
              </w:rPr>
              <w:instrText xml:space="preserve"> REF _Ref510695900 \r \h </w:instrText>
            </w:r>
            <w:r>
              <w:rPr>
                <w:rFonts w:eastAsia="MS Mincho"/>
                <w:color w:val="000000"/>
                <w:kern w:val="24"/>
                <w:szCs w:val="32"/>
                <w:lang w:val="en-US" w:eastAsia="it-IT"/>
              </w:rPr>
            </w:r>
            <w:r>
              <w:rPr>
                <w:rFonts w:eastAsia="MS Mincho"/>
                <w:color w:val="000000"/>
                <w:kern w:val="24"/>
                <w:szCs w:val="32"/>
                <w:lang w:val="en-US" w:eastAsia="it-IT"/>
              </w:rPr>
              <w:fldChar w:fldCharType="separate"/>
            </w:r>
            <w:r w:rsidR="0036551D">
              <w:rPr>
                <w:rFonts w:eastAsia="MS Mincho"/>
                <w:color w:val="000000"/>
                <w:kern w:val="24"/>
                <w:szCs w:val="32"/>
                <w:lang w:val="en-US" w:eastAsia="it-IT"/>
              </w:rPr>
              <w:t>[5]</w:t>
            </w:r>
            <w:r>
              <w:rPr>
                <w:rFonts w:eastAsia="MS Mincho"/>
                <w:color w:val="000000"/>
                <w:kern w:val="24"/>
                <w:szCs w:val="32"/>
                <w:lang w:val="en-US" w:eastAsia="it-IT"/>
              </w:rPr>
              <w:fldChar w:fldCharType="end"/>
            </w:r>
          </w:p>
        </w:tc>
        <w:tc>
          <w:tcPr>
            <w:tcW w:w="29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6497B5" w14:textId="77777777" w:rsidR="001F7671" w:rsidRPr="001F7671" w:rsidRDefault="001F7671" w:rsidP="001F7671">
            <w:pPr>
              <w:spacing w:after="0"/>
              <w:rPr>
                <w:rFonts w:ascii="Arial" w:hAnsi="Arial" w:cs="Arial"/>
                <w:szCs w:val="36"/>
                <w:lang w:val="en-US" w:eastAsia="it-IT"/>
              </w:rPr>
            </w:pPr>
            <w:r w:rsidRPr="001F7671">
              <w:rPr>
                <w:rFonts w:eastAsia="Malgun Gothic"/>
                <w:color w:val="000000"/>
                <w:kern w:val="24"/>
                <w:szCs w:val="32"/>
                <w:lang w:val="en-US" w:eastAsia="it-IT"/>
              </w:rPr>
              <w:t xml:space="preserve">- </w:t>
            </w:r>
            <w:r w:rsidRPr="001F7671">
              <w:rPr>
                <w:rFonts w:eastAsia="Malgun Gothic"/>
                <w:color w:val="000000"/>
                <w:kern w:val="24"/>
                <w:szCs w:val="32"/>
                <w:lang w:eastAsia="it-IT"/>
              </w:rPr>
              <w:t>UE implicitly verify by using the spherical coverage test</w:t>
            </w:r>
          </w:p>
        </w:tc>
        <w:tc>
          <w:tcPr>
            <w:tcW w:w="3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1CDBCA" w14:textId="77777777" w:rsidR="001F7671" w:rsidRPr="001F7671" w:rsidRDefault="001F7671" w:rsidP="001F7671">
            <w:pPr>
              <w:spacing w:after="0"/>
              <w:rPr>
                <w:rFonts w:ascii="Arial" w:hAnsi="Arial" w:cs="Arial"/>
                <w:szCs w:val="36"/>
                <w:lang w:val="en-US" w:eastAsia="it-IT"/>
              </w:rPr>
            </w:pPr>
            <w:r w:rsidRPr="001F7671">
              <w:rPr>
                <w:rFonts w:eastAsia="MS Mincho"/>
                <w:color w:val="000000"/>
                <w:kern w:val="24"/>
                <w:szCs w:val="32"/>
                <w:lang w:val="en-US" w:eastAsia="it-IT"/>
              </w:rPr>
              <w:t xml:space="preserve">- </w:t>
            </w:r>
            <w:proofErr w:type="spellStart"/>
            <w:r w:rsidRPr="001F7671">
              <w:rPr>
                <w:rFonts w:eastAsia="MS Mincho"/>
                <w:color w:val="000000"/>
                <w:kern w:val="24"/>
                <w:szCs w:val="32"/>
                <w:lang w:val="en-US" w:eastAsia="it-IT"/>
              </w:rPr>
              <w:t>Can not</w:t>
            </w:r>
            <w:proofErr w:type="spellEnd"/>
            <w:r w:rsidRPr="001F7671">
              <w:rPr>
                <w:rFonts w:eastAsia="MS Mincho"/>
                <w:color w:val="000000"/>
                <w:kern w:val="24"/>
                <w:szCs w:val="32"/>
                <w:lang w:val="en-US" w:eastAsia="it-IT"/>
              </w:rPr>
              <w:t xml:space="preserve"> differentiate “full” and “partial” beam correspondence</w:t>
            </w:r>
          </w:p>
          <w:p w14:paraId="1828907A" w14:textId="77777777" w:rsidR="001F7671" w:rsidRPr="001F7671" w:rsidRDefault="001F7671" w:rsidP="001F7671">
            <w:pPr>
              <w:spacing w:after="0"/>
              <w:rPr>
                <w:rFonts w:ascii="Arial" w:hAnsi="Arial" w:cs="Arial"/>
                <w:szCs w:val="36"/>
                <w:lang w:val="en-US" w:eastAsia="it-IT"/>
              </w:rPr>
            </w:pPr>
            <w:r w:rsidRPr="001F7671">
              <w:rPr>
                <w:rFonts w:eastAsia="MS Mincho"/>
                <w:color w:val="000000"/>
                <w:kern w:val="24"/>
                <w:szCs w:val="32"/>
                <w:lang w:val="en-US" w:eastAsia="it-IT"/>
              </w:rPr>
              <w:t>-New concept for “partial” beam correspondence and too late to introduce in rel-15</w:t>
            </w:r>
          </w:p>
          <w:p w14:paraId="673B65B8" w14:textId="77777777" w:rsidR="001F7671" w:rsidRPr="001F7671" w:rsidRDefault="001F7671" w:rsidP="001F7671">
            <w:pPr>
              <w:spacing w:after="0"/>
              <w:rPr>
                <w:rFonts w:ascii="Arial" w:hAnsi="Arial" w:cs="Arial"/>
                <w:szCs w:val="36"/>
                <w:lang w:val="en-US" w:eastAsia="it-IT"/>
              </w:rPr>
            </w:pPr>
            <w:r w:rsidRPr="001F7671">
              <w:rPr>
                <w:rFonts w:eastAsia="MS Mincho"/>
                <w:color w:val="000000"/>
                <w:kern w:val="24"/>
                <w:szCs w:val="32"/>
                <w:lang w:val="en-US" w:eastAsia="it-IT"/>
              </w:rPr>
              <w:t xml:space="preserve">- Adjacent UE can be impacted </w:t>
            </w:r>
            <w:proofErr w:type="gramStart"/>
            <w:r w:rsidRPr="001F7671">
              <w:rPr>
                <w:rFonts w:eastAsia="MS Mincho"/>
                <w:color w:val="000000"/>
                <w:kern w:val="24"/>
                <w:szCs w:val="32"/>
                <w:lang w:val="en-US" w:eastAsia="it-IT"/>
              </w:rPr>
              <w:t>by  unmatched</w:t>
            </w:r>
            <w:proofErr w:type="gramEnd"/>
            <w:r w:rsidRPr="001F7671">
              <w:rPr>
                <w:rFonts w:eastAsia="MS Mincho"/>
                <w:color w:val="000000"/>
                <w:kern w:val="24"/>
                <w:szCs w:val="32"/>
                <w:lang w:val="en-US" w:eastAsia="it-IT"/>
              </w:rPr>
              <w:t xml:space="preserve"> direction between Tx and Rx beam</w:t>
            </w:r>
          </w:p>
        </w:tc>
      </w:tr>
      <w:tr w:rsidR="001F7671" w:rsidRPr="001F7671" w14:paraId="3C8734D0" w14:textId="77777777" w:rsidTr="001F7671">
        <w:trPr>
          <w:trHeight w:val="1652"/>
          <w:jc w:val="center"/>
        </w:trPr>
        <w:tc>
          <w:tcPr>
            <w:tcW w:w="24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B7CA37" w14:textId="2B16C299" w:rsidR="001F7671" w:rsidRPr="001F7671" w:rsidRDefault="001F7671" w:rsidP="001F7671">
            <w:pPr>
              <w:spacing w:after="0"/>
              <w:jc w:val="both"/>
              <w:rPr>
                <w:rFonts w:ascii="Arial" w:hAnsi="Arial" w:cs="Arial"/>
                <w:szCs w:val="36"/>
                <w:lang w:val="it-IT" w:eastAsia="it-IT"/>
              </w:rPr>
            </w:pPr>
            <w:r w:rsidRPr="001F7671">
              <w:rPr>
                <w:rFonts w:eastAsia="MS Mincho"/>
                <w:color w:val="000000"/>
                <w:kern w:val="24"/>
                <w:szCs w:val="32"/>
                <w:lang w:val="en-US" w:eastAsia="it-IT"/>
              </w:rPr>
              <w:t>[3] by QC</w:t>
            </w:r>
            <w:r>
              <w:rPr>
                <w:rFonts w:eastAsia="MS Mincho"/>
                <w:color w:val="000000"/>
                <w:kern w:val="24"/>
                <w:szCs w:val="32"/>
                <w:lang w:val="en-US" w:eastAsia="it-IT"/>
              </w:rPr>
              <w:t xml:space="preserve"> </w:t>
            </w:r>
            <w:r>
              <w:rPr>
                <w:rFonts w:eastAsia="MS Mincho"/>
                <w:color w:val="000000"/>
                <w:kern w:val="24"/>
                <w:szCs w:val="32"/>
                <w:lang w:val="en-US" w:eastAsia="it-IT"/>
              </w:rPr>
              <w:fldChar w:fldCharType="begin"/>
            </w:r>
            <w:r>
              <w:rPr>
                <w:rFonts w:eastAsia="MS Mincho"/>
                <w:color w:val="000000"/>
                <w:kern w:val="24"/>
                <w:szCs w:val="32"/>
                <w:lang w:val="en-US" w:eastAsia="it-IT"/>
              </w:rPr>
              <w:instrText xml:space="preserve"> REF _Ref510695905 \r \h </w:instrText>
            </w:r>
            <w:r>
              <w:rPr>
                <w:rFonts w:eastAsia="MS Mincho"/>
                <w:color w:val="000000"/>
                <w:kern w:val="24"/>
                <w:szCs w:val="32"/>
                <w:lang w:val="en-US" w:eastAsia="it-IT"/>
              </w:rPr>
            </w:r>
            <w:r>
              <w:rPr>
                <w:rFonts w:eastAsia="MS Mincho"/>
                <w:color w:val="000000"/>
                <w:kern w:val="24"/>
                <w:szCs w:val="32"/>
                <w:lang w:val="en-US" w:eastAsia="it-IT"/>
              </w:rPr>
              <w:fldChar w:fldCharType="separate"/>
            </w:r>
            <w:r w:rsidR="0036551D">
              <w:rPr>
                <w:rFonts w:eastAsia="MS Mincho"/>
                <w:color w:val="000000"/>
                <w:kern w:val="24"/>
                <w:szCs w:val="32"/>
                <w:lang w:val="en-US" w:eastAsia="it-IT"/>
              </w:rPr>
              <w:t>[6]</w:t>
            </w:r>
            <w:r>
              <w:rPr>
                <w:rFonts w:eastAsia="MS Mincho"/>
                <w:color w:val="000000"/>
                <w:kern w:val="24"/>
                <w:szCs w:val="32"/>
                <w:lang w:val="en-US" w:eastAsia="it-IT"/>
              </w:rPr>
              <w:fldChar w:fldCharType="end"/>
            </w:r>
          </w:p>
        </w:tc>
        <w:tc>
          <w:tcPr>
            <w:tcW w:w="29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D57CD1" w14:textId="77777777" w:rsidR="001F7671" w:rsidRPr="001F7671" w:rsidRDefault="001F7671" w:rsidP="001F7671">
            <w:pPr>
              <w:spacing w:after="0"/>
              <w:rPr>
                <w:rFonts w:ascii="Arial" w:hAnsi="Arial" w:cs="Arial"/>
                <w:szCs w:val="36"/>
                <w:lang w:val="en-US" w:eastAsia="it-IT"/>
              </w:rPr>
            </w:pPr>
            <w:r w:rsidRPr="001F7671">
              <w:rPr>
                <w:rFonts w:eastAsia="MS Mincho"/>
                <w:color w:val="000000"/>
                <w:kern w:val="24"/>
                <w:szCs w:val="32"/>
                <w:lang w:val="en-US" w:eastAsia="it-IT"/>
              </w:rPr>
              <w:t>- Simple test for power difference between Tx and Rx beam</w:t>
            </w:r>
          </w:p>
        </w:tc>
        <w:tc>
          <w:tcPr>
            <w:tcW w:w="3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2239CA" w14:textId="77777777" w:rsidR="001F7671" w:rsidRPr="001F7671" w:rsidRDefault="001F7671" w:rsidP="001F7671">
            <w:pPr>
              <w:spacing w:after="0"/>
              <w:rPr>
                <w:rFonts w:ascii="Arial" w:hAnsi="Arial" w:cs="Arial"/>
                <w:szCs w:val="36"/>
                <w:lang w:val="en-US" w:eastAsia="it-IT"/>
              </w:rPr>
            </w:pPr>
            <w:r w:rsidRPr="001F7671">
              <w:rPr>
                <w:rFonts w:eastAsia="MS Mincho"/>
                <w:color w:val="000000"/>
                <w:kern w:val="24"/>
                <w:szCs w:val="32"/>
                <w:lang w:val="en-US" w:eastAsia="it-IT"/>
              </w:rPr>
              <w:t>- No EIRP CDF test time saving for UEs with beam correspondence capability as beam sweeping is always required.</w:t>
            </w:r>
          </w:p>
          <w:p w14:paraId="140FC863" w14:textId="77777777" w:rsidR="001F7671" w:rsidRPr="001F7671" w:rsidRDefault="001F7671" w:rsidP="001F7671">
            <w:pPr>
              <w:spacing w:after="0"/>
              <w:rPr>
                <w:rFonts w:ascii="Arial" w:hAnsi="Arial" w:cs="Arial"/>
                <w:szCs w:val="36"/>
                <w:lang w:val="en-US" w:eastAsia="it-IT"/>
              </w:rPr>
            </w:pPr>
            <w:r w:rsidRPr="001F7671">
              <w:rPr>
                <w:rFonts w:eastAsia="MS Mincho"/>
                <w:color w:val="000000"/>
                <w:kern w:val="24"/>
                <w:szCs w:val="32"/>
                <w:lang w:val="en-US" w:eastAsia="it-IT"/>
              </w:rPr>
              <w:t xml:space="preserve">- Adjacent UE can be impacted </w:t>
            </w:r>
            <w:proofErr w:type="gramStart"/>
            <w:r w:rsidRPr="001F7671">
              <w:rPr>
                <w:rFonts w:eastAsia="MS Mincho"/>
                <w:color w:val="000000"/>
                <w:kern w:val="24"/>
                <w:szCs w:val="32"/>
                <w:lang w:val="en-US" w:eastAsia="it-IT"/>
              </w:rPr>
              <w:t>by  unmatched</w:t>
            </w:r>
            <w:proofErr w:type="gramEnd"/>
            <w:r w:rsidRPr="001F7671">
              <w:rPr>
                <w:rFonts w:eastAsia="MS Mincho"/>
                <w:color w:val="000000"/>
                <w:kern w:val="24"/>
                <w:szCs w:val="32"/>
                <w:lang w:val="en-US" w:eastAsia="it-IT"/>
              </w:rPr>
              <w:t xml:space="preserve"> direction between Tx and Rx beam</w:t>
            </w:r>
          </w:p>
        </w:tc>
      </w:tr>
    </w:tbl>
    <w:p w14:paraId="4D6A550A" w14:textId="5CB744B4" w:rsidR="00B47DD5" w:rsidRDefault="00B47DD5" w:rsidP="00A5032F">
      <w:pPr>
        <w:jc w:val="both"/>
        <w:rPr>
          <w:b/>
          <w:i/>
          <w:color w:val="000000"/>
          <w:lang w:val="en-US"/>
        </w:rPr>
      </w:pPr>
    </w:p>
    <w:p w14:paraId="2121F246" w14:textId="77777777" w:rsidR="001F7671" w:rsidRDefault="001F7671" w:rsidP="00A5032F">
      <w:pPr>
        <w:jc w:val="both"/>
        <w:rPr>
          <w:color w:val="000000"/>
          <w:lang w:val="en-US"/>
        </w:rPr>
      </w:pPr>
      <w:r w:rsidRPr="001F7671">
        <w:rPr>
          <w:color w:val="000000"/>
          <w:lang w:val="en-US"/>
        </w:rPr>
        <w:t>Alth</w:t>
      </w:r>
      <w:r>
        <w:rPr>
          <w:color w:val="000000"/>
          <w:lang w:val="en-US"/>
        </w:rPr>
        <w:t>ough different test methods were proposed, it is still not clear what is the requirement definition:</w:t>
      </w:r>
    </w:p>
    <w:p w14:paraId="5A78CED1" w14:textId="77777777" w:rsidR="007D5462" w:rsidRPr="001F7671" w:rsidRDefault="008E2C91" w:rsidP="001F7671">
      <w:pPr>
        <w:numPr>
          <w:ilvl w:val="0"/>
          <w:numId w:val="44"/>
        </w:numPr>
        <w:jc w:val="both"/>
        <w:rPr>
          <w:color w:val="000000"/>
          <w:lang w:val="en-US"/>
        </w:rPr>
      </w:pPr>
      <w:r w:rsidRPr="001F7671">
        <w:rPr>
          <w:color w:val="000000"/>
          <w:lang w:val="en-US"/>
        </w:rPr>
        <w:t>The metric to choose the test methodology for beam correspondence RF requirement is test simplicity to save the OTA test time.</w:t>
      </w:r>
    </w:p>
    <w:p w14:paraId="67A302D0" w14:textId="157046C1" w:rsidR="007D5462" w:rsidRPr="001F7671" w:rsidRDefault="008E2C91" w:rsidP="001F7671">
      <w:pPr>
        <w:numPr>
          <w:ilvl w:val="1"/>
          <w:numId w:val="44"/>
        </w:numPr>
        <w:jc w:val="both"/>
        <w:rPr>
          <w:color w:val="000000"/>
          <w:lang w:val="en-US"/>
        </w:rPr>
      </w:pPr>
      <w:r w:rsidRPr="001F7671">
        <w:rPr>
          <w:color w:val="000000"/>
          <w:lang w:val="en-US"/>
        </w:rPr>
        <w:t>RAN4 will specify the minimum RF requirements of beam correspondence based on [</w:t>
      </w:r>
      <w:r w:rsidR="001F7671">
        <w:rPr>
          <w:color w:val="000000"/>
          <w:lang w:val="en-US"/>
        </w:rPr>
        <w:t>5</w:t>
      </w:r>
      <w:r w:rsidRPr="001F7671">
        <w:rPr>
          <w:color w:val="000000"/>
          <w:lang w:val="en-US"/>
        </w:rPr>
        <w:t xml:space="preserve">] to reduce the test time and test burden and inform to RAN WG5 for the test methodology of beam correspondence. </w:t>
      </w:r>
    </w:p>
    <w:p w14:paraId="73AFCC10" w14:textId="77777777" w:rsidR="007D5462" w:rsidRPr="001F7671" w:rsidRDefault="008E2C91" w:rsidP="001F7671">
      <w:pPr>
        <w:numPr>
          <w:ilvl w:val="1"/>
          <w:numId w:val="44"/>
        </w:numPr>
        <w:jc w:val="both"/>
        <w:rPr>
          <w:color w:val="000000"/>
          <w:lang w:val="en-US"/>
        </w:rPr>
      </w:pPr>
      <w:r w:rsidRPr="001F7671">
        <w:rPr>
          <w:color w:val="000000"/>
          <w:lang w:val="en-US"/>
        </w:rPr>
        <w:t xml:space="preserve">FFS how to capture the full beam correspondence RF requirements. </w:t>
      </w:r>
    </w:p>
    <w:p w14:paraId="48FD60EC" w14:textId="46B2B7C9" w:rsidR="00901B12" w:rsidRDefault="00526347" w:rsidP="00901B12">
      <w:pPr>
        <w:jc w:val="both"/>
        <w:rPr>
          <w:color w:val="000000"/>
          <w:lang w:val="en-US"/>
        </w:rPr>
      </w:pPr>
      <w:r>
        <w:rPr>
          <w:color w:val="000000"/>
          <w:lang w:val="en-US"/>
        </w:rPr>
        <w:t>Although</w:t>
      </w:r>
      <w:r w:rsidR="00016D5E">
        <w:rPr>
          <w:color w:val="000000"/>
          <w:lang w:val="en-US"/>
        </w:rPr>
        <w:t xml:space="preserve"> </w:t>
      </w:r>
      <w:r>
        <w:rPr>
          <w:color w:val="000000"/>
          <w:lang w:val="en-US"/>
        </w:rPr>
        <w:t>requirement and testing are strongly related we propose to decouple the two issues and focus on the metric to be used in the test, i.e. the requirement definition in 38.101-2.</w:t>
      </w:r>
      <w:r w:rsidR="00901B12">
        <w:rPr>
          <w:color w:val="000000"/>
          <w:lang w:val="en-US"/>
        </w:rPr>
        <w:t xml:space="preserve"> </w:t>
      </w:r>
    </w:p>
    <w:p w14:paraId="02A40784" w14:textId="233AE663" w:rsidR="00526347" w:rsidRDefault="00526347" w:rsidP="00A5032F">
      <w:pPr>
        <w:jc w:val="both"/>
        <w:rPr>
          <w:color w:val="000000"/>
          <w:lang w:val="en-US"/>
        </w:rPr>
      </w:pPr>
      <w:r>
        <w:rPr>
          <w:color w:val="000000"/>
          <w:lang w:val="en-US"/>
        </w:rPr>
        <w:t xml:space="preserve">In theory, given the definition of beam correspondence the requirement should be based on a mismatch between Tx and Rx pattern, thus involving Rx beam pattern measurement. As we observed in </w:t>
      </w:r>
      <w:r>
        <w:rPr>
          <w:color w:val="000000"/>
          <w:lang w:val="en-US"/>
        </w:rPr>
        <w:fldChar w:fldCharType="begin"/>
      </w:r>
      <w:r>
        <w:rPr>
          <w:color w:val="000000"/>
          <w:lang w:val="en-US"/>
        </w:rPr>
        <w:instrText xml:space="preserve"> REF _Ref510696483 \r \h </w:instrText>
      </w:r>
      <w:r>
        <w:rPr>
          <w:color w:val="000000"/>
          <w:lang w:val="en-US"/>
        </w:rPr>
      </w:r>
      <w:r>
        <w:rPr>
          <w:color w:val="000000"/>
          <w:lang w:val="en-US"/>
        </w:rPr>
        <w:fldChar w:fldCharType="separate"/>
      </w:r>
      <w:r w:rsidR="0036551D">
        <w:rPr>
          <w:color w:val="000000"/>
          <w:lang w:val="en-US"/>
        </w:rPr>
        <w:t>[7]</w:t>
      </w:r>
      <w:r>
        <w:rPr>
          <w:color w:val="000000"/>
          <w:lang w:val="en-US"/>
        </w:rPr>
        <w:fldChar w:fldCharType="end"/>
      </w:r>
      <w:r>
        <w:rPr>
          <w:color w:val="000000"/>
          <w:lang w:val="en-US"/>
        </w:rPr>
        <w:t xml:space="preserve">, this is impractical due to the difficulty in measuring the receiver antenna pattern. </w:t>
      </w:r>
      <w:proofErr w:type="gramStart"/>
      <w:r>
        <w:rPr>
          <w:color w:val="000000"/>
          <w:lang w:val="en-US"/>
        </w:rPr>
        <w:t>As a consequence</w:t>
      </w:r>
      <w:proofErr w:type="gramEnd"/>
      <w:r>
        <w:rPr>
          <w:color w:val="000000"/>
          <w:lang w:val="en-US"/>
        </w:rPr>
        <w:t>, our preference is to base the requirement only on UE Tx measurement performed at the test equipment (TE).</w:t>
      </w:r>
    </w:p>
    <w:p w14:paraId="25532B4A" w14:textId="77777777" w:rsidR="0013717D" w:rsidRDefault="00526347" w:rsidP="00A5032F">
      <w:pPr>
        <w:jc w:val="both"/>
        <w:rPr>
          <w:b/>
          <w:i/>
          <w:color w:val="000000"/>
          <w:lang w:val="en-US"/>
        </w:rPr>
      </w:pPr>
      <w:r w:rsidRPr="00526347">
        <w:rPr>
          <w:b/>
          <w:i/>
          <w:color w:val="000000"/>
          <w:lang w:val="en-US"/>
        </w:rPr>
        <w:t xml:space="preserve">Proposal 1: </w:t>
      </w:r>
      <w:r>
        <w:rPr>
          <w:b/>
          <w:i/>
          <w:color w:val="000000"/>
          <w:lang w:val="en-US"/>
        </w:rPr>
        <w:t xml:space="preserve">beam correspondence requirement should be only based on UE Tx measurements performed </w:t>
      </w:r>
      <w:r w:rsidR="0013717D">
        <w:rPr>
          <w:b/>
          <w:i/>
          <w:color w:val="000000"/>
          <w:lang w:val="en-US"/>
        </w:rPr>
        <w:t>by the TE.</w:t>
      </w:r>
    </w:p>
    <w:p w14:paraId="7DD38BB9" w14:textId="33280846" w:rsidR="001F7671" w:rsidRDefault="0013717D" w:rsidP="00A5032F">
      <w:pPr>
        <w:jc w:val="both"/>
        <w:rPr>
          <w:color w:val="000000"/>
          <w:lang w:val="en-US"/>
        </w:rPr>
      </w:pPr>
      <w:r>
        <w:rPr>
          <w:color w:val="000000"/>
          <w:lang w:val="en-US"/>
        </w:rPr>
        <w:t xml:space="preserve">Note that this approach is consistent with test approaches proposed in </w:t>
      </w:r>
      <w:r>
        <w:rPr>
          <w:color w:val="000000"/>
          <w:lang w:val="en-US"/>
        </w:rPr>
        <w:fldChar w:fldCharType="begin"/>
      </w:r>
      <w:r>
        <w:rPr>
          <w:color w:val="000000"/>
          <w:lang w:val="en-US"/>
        </w:rPr>
        <w:instrText xml:space="preserve"> REF _Ref510695900 \r \h </w:instrText>
      </w:r>
      <w:r>
        <w:rPr>
          <w:color w:val="000000"/>
          <w:lang w:val="en-US"/>
        </w:rPr>
      </w:r>
      <w:r>
        <w:rPr>
          <w:color w:val="000000"/>
          <w:lang w:val="en-US"/>
        </w:rPr>
        <w:fldChar w:fldCharType="separate"/>
      </w:r>
      <w:r w:rsidR="0036551D">
        <w:rPr>
          <w:color w:val="000000"/>
          <w:lang w:val="en-US"/>
        </w:rPr>
        <w:t>[5]</w:t>
      </w:r>
      <w:r>
        <w:rPr>
          <w:color w:val="000000"/>
          <w:lang w:val="en-US"/>
        </w:rPr>
        <w:fldChar w:fldCharType="end"/>
      </w:r>
      <w:r>
        <w:rPr>
          <w:color w:val="000000"/>
          <w:lang w:val="en-US"/>
        </w:rPr>
        <w:t xml:space="preserve"> and </w:t>
      </w:r>
      <w:r>
        <w:rPr>
          <w:color w:val="000000"/>
          <w:lang w:val="en-US"/>
        </w:rPr>
        <w:fldChar w:fldCharType="begin"/>
      </w:r>
      <w:r>
        <w:rPr>
          <w:color w:val="000000"/>
          <w:lang w:val="en-US"/>
        </w:rPr>
        <w:instrText xml:space="preserve"> REF _Ref510695905 \r \h </w:instrText>
      </w:r>
      <w:r>
        <w:rPr>
          <w:color w:val="000000"/>
          <w:lang w:val="en-US"/>
        </w:rPr>
      </w:r>
      <w:r>
        <w:rPr>
          <w:color w:val="000000"/>
          <w:lang w:val="en-US"/>
        </w:rPr>
        <w:fldChar w:fldCharType="separate"/>
      </w:r>
      <w:r w:rsidR="0036551D">
        <w:rPr>
          <w:color w:val="000000"/>
          <w:lang w:val="en-US"/>
        </w:rPr>
        <w:t>[6]</w:t>
      </w:r>
      <w:r>
        <w:rPr>
          <w:color w:val="000000"/>
          <w:lang w:val="en-US"/>
        </w:rPr>
        <w:fldChar w:fldCharType="end"/>
      </w:r>
      <w:r w:rsidR="003D7142">
        <w:rPr>
          <w:color w:val="000000"/>
          <w:lang w:val="en-US"/>
        </w:rPr>
        <w:t xml:space="preserve">. </w:t>
      </w:r>
    </w:p>
    <w:p w14:paraId="5AE8E830" w14:textId="2B93A8EC" w:rsidR="003D7142" w:rsidRDefault="003D7142" w:rsidP="00A5032F">
      <w:pPr>
        <w:jc w:val="both"/>
        <w:rPr>
          <w:color w:val="000000"/>
          <w:lang w:val="en-US"/>
        </w:rPr>
      </w:pPr>
      <w:r w:rsidRPr="003D7142">
        <w:rPr>
          <w:color w:val="000000"/>
          <w:lang w:val="en-US"/>
        </w:rPr>
        <w:t xml:space="preserve">Given </w:t>
      </w:r>
      <w:r>
        <w:rPr>
          <w:color w:val="000000"/>
          <w:lang w:val="en-US"/>
        </w:rPr>
        <w:t>proposal 1, the easiest approach would be to define the beam correspondence requirement based on EIRP.</w:t>
      </w:r>
    </w:p>
    <w:p w14:paraId="353DC248" w14:textId="7C8728B3" w:rsidR="003D7142" w:rsidRDefault="003D7142" w:rsidP="003D7142">
      <w:pPr>
        <w:jc w:val="both"/>
        <w:rPr>
          <w:b/>
          <w:i/>
          <w:color w:val="000000"/>
          <w:lang w:val="en-US"/>
        </w:rPr>
      </w:pPr>
      <w:r w:rsidRPr="00526347">
        <w:rPr>
          <w:b/>
          <w:i/>
          <w:color w:val="000000"/>
          <w:lang w:val="en-US"/>
        </w:rPr>
        <w:t xml:space="preserve">Proposal </w:t>
      </w:r>
      <w:r>
        <w:rPr>
          <w:b/>
          <w:i/>
          <w:color w:val="000000"/>
          <w:lang w:val="en-US"/>
        </w:rPr>
        <w:t>2</w:t>
      </w:r>
      <w:r w:rsidRPr="00526347">
        <w:rPr>
          <w:b/>
          <w:i/>
          <w:color w:val="000000"/>
          <w:lang w:val="en-US"/>
        </w:rPr>
        <w:t xml:space="preserve">: </w:t>
      </w:r>
      <w:r>
        <w:rPr>
          <w:b/>
          <w:i/>
          <w:color w:val="000000"/>
          <w:lang w:val="en-US"/>
        </w:rPr>
        <w:t>the metric to be used in beam correspondence requirement is EIRP.</w:t>
      </w:r>
    </w:p>
    <w:p w14:paraId="5AC43BFA" w14:textId="440CEFA0" w:rsidR="003D7142" w:rsidRDefault="003D7142" w:rsidP="00A5032F">
      <w:pPr>
        <w:jc w:val="both"/>
        <w:rPr>
          <w:color w:val="000000"/>
          <w:lang w:val="en-US"/>
        </w:rPr>
      </w:pPr>
      <w:r>
        <w:rPr>
          <w:color w:val="000000"/>
          <w:lang w:val="en-US"/>
        </w:rPr>
        <w:t xml:space="preserve">So far, Proposal 1 and 2 are both consistent with the test procedures outlined in in </w:t>
      </w:r>
      <w:r>
        <w:rPr>
          <w:color w:val="000000"/>
          <w:lang w:val="en-US"/>
        </w:rPr>
        <w:fldChar w:fldCharType="begin"/>
      </w:r>
      <w:r>
        <w:rPr>
          <w:color w:val="000000"/>
          <w:lang w:val="en-US"/>
        </w:rPr>
        <w:instrText xml:space="preserve"> REF _Ref510695900 \r \h </w:instrText>
      </w:r>
      <w:r>
        <w:rPr>
          <w:color w:val="000000"/>
          <w:lang w:val="en-US"/>
        </w:rPr>
      </w:r>
      <w:r>
        <w:rPr>
          <w:color w:val="000000"/>
          <w:lang w:val="en-US"/>
        </w:rPr>
        <w:fldChar w:fldCharType="separate"/>
      </w:r>
      <w:r w:rsidR="0036551D">
        <w:rPr>
          <w:color w:val="000000"/>
          <w:lang w:val="en-US"/>
        </w:rPr>
        <w:t>[5]</w:t>
      </w:r>
      <w:r>
        <w:rPr>
          <w:color w:val="000000"/>
          <w:lang w:val="en-US"/>
        </w:rPr>
        <w:fldChar w:fldCharType="end"/>
      </w:r>
      <w:r>
        <w:rPr>
          <w:color w:val="000000"/>
          <w:lang w:val="en-US"/>
        </w:rPr>
        <w:t xml:space="preserve"> and </w:t>
      </w:r>
      <w:r>
        <w:rPr>
          <w:color w:val="000000"/>
          <w:lang w:val="en-US"/>
        </w:rPr>
        <w:fldChar w:fldCharType="begin"/>
      </w:r>
      <w:r>
        <w:rPr>
          <w:color w:val="000000"/>
          <w:lang w:val="en-US"/>
        </w:rPr>
        <w:instrText xml:space="preserve"> REF _Ref510695905 \r \h </w:instrText>
      </w:r>
      <w:r>
        <w:rPr>
          <w:color w:val="000000"/>
          <w:lang w:val="en-US"/>
        </w:rPr>
      </w:r>
      <w:r>
        <w:rPr>
          <w:color w:val="000000"/>
          <w:lang w:val="en-US"/>
        </w:rPr>
        <w:fldChar w:fldCharType="separate"/>
      </w:r>
      <w:r w:rsidR="0036551D">
        <w:rPr>
          <w:color w:val="000000"/>
          <w:lang w:val="en-US"/>
        </w:rPr>
        <w:t>[6]</w:t>
      </w:r>
      <w:r>
        <w:rPr>
          <w:color w:val="000000"/>
          <w:lang w:val="en-US"/>
        </w:rPr>
        <w:fldChar w:fldCharType="end"/>
      </w:r>
      <w:r>
        <w:rPr>
          <w:color w:val="000000"/>
          <w:lang w:val="en-US"/>
        </w:rPr>
        <w:t xml:space="preserve">. The end goal of the requirement is to make sure that the best possible beams, i.e. the one resulting to higher EIRP towards the BS, is selected. Because </w:t>
      </w:r>
      <w:r w:rsidR="00A97EB8">
        <w:rPr>
          <w:color w:val="000000"/>
          <w:lang w:val="en-US"/>
        </w:rPr>
        <w:t xml:space="preserve">of typical calibration issues and implementation constraints it is not always possible to guarantee that the best beam is selected, </w:t>
      </w:r>
      <w:r w:rsidR="000122B2">
        <w:rPr>
          <w:color w:val="000000"/>
          <w:lang w:val="en-US"/>
        </w:rPr>
        <w:t xml:space="preserve">therefore </w:t>
      </w:r>
      <w:r w:rsidR="00A97EB8">
        <w:rPr>
          <w:color w:val="000000"/>
          <w:lang w:val="en-US"/>
        </w:rPr>
        <w:t xml:space="preserve">a margin compared to the achievable EIRP in a given direction should be provided.  </w:t>
      </w:r>
    </w:p>
    <w:p w14:paraId="3BB36745" w14:textId="549FE493" w:rsidR="00A97EB8" w:rsidRDefault="00A97EB8" w:rsidP="00A97EB8">
      <w:pPr>
        <w:jc w:val="both"/>
        <w:rPr>
          <w:b/>
          <w:i/>
          <w:color w:val="000000"/>
          <w:lang w:val="en-US"/>
        </w:rPr>
      </w:pPr>
      <w:r w:rsidRPr="00526347">
        <w:rPr>
          <w:b/>
          <w:i/>
          <w:color w:val="000000"/>
          <w:lang w:val="en-US"/>
        </w:rPr>
        <w:t xml:space="preserve">Proposal </w:t>
      </w:r>
      <w:r>
        <w:rPr>
          <w:b/>
          <w:i/>
          <w:color w:val="000000"/>
          <w:lang w:val="en-US"/>
        </w:rPr>
        <w:t>3</w:t>
      </w:r>
      <w:r w:rsidRPr="00526347">
        <w:rPr>
          <w:b/>
          <w:i/>
          <w:color w:val="000000"/>
          <w:lang w:val="en-US"/>
        </w:rPr>
        <w:t xml:space="preserve">: </w:t>
      </w:r>
      <w:r>
        <w:rPr>
          <w:b/>
          <w:i/>
          <w:color w:val="000000"/>
          <w:lang w:val="en-US"/>
        </w:rPr>
        <w:t>the EIRP measured in a given direction should be within a tolerance margin compared to the best achievable EIRP in the same direction.</w:t>
      </w:r>
    </w:p>
    <w:p w14:paraId="1510CD72" w14:textId="386A283F" w:rsidR="000443FF" w:rsidRDefault="000443FF" w:rsidP="00A97EB8">
      <w:pPr>
        <w:jc w:val="both"/>
        <w:rPr>
          <w:color w:val="000000"/>
          <w:lang w:val="en-US"/>
        </w:rPr>
      </w:pPr>
      <w:r>
        <w:rPr>
          <w:color w:val="000000"/>
          <w:lang w:val="en-US"/>
        </w:rPr>
        <w:t>The following definition for beam correspondence requirement summarizes our proposal 1, 2 and 3:</w:t>
      </w:r>
    </w:p>
    <w:p w14:paraId="5B96D25A" w14:textId="32A77F7C" w:rsidR="000443FF" w:rsidRPr="00901B12" w:rsidRDefault="000443FF" w:rsidP="00A97EB8">
      <w:pPr>
        <w:jc w:val="both"/>
        <w:rPr>
          <w:b/>
          <w:i/>
          <w:color w:val="000000"/>
          <w:lang w:val="en-US"/>
        </w:rPr>
      </w:pPr>
      <w:r w:rsidRPr="00901B12">
        <w:rPr>
          <w:b/>
          <w:i/>
          <w:color w:val="000000"/>
          <w:lang w:val="en-US"/>
        </w:rPr>
        <w:t>Proposal 4</w:t>
      </w:r>
      <w:r w:rsidR="00901B12" w:rsidRPr="00901B12">
        <w:rPr>
          <w:b/>
          <w:i/>
          <w:color w:val="000000"/>
          <w:lang w:val="en-US"/>
        </w:rPr>
        <w:t>:</w:t>
      </w:r>
      <w:r w:rsidR="00901B12">
        <w:rPr>
          <w:b/>
          <w:i/>
          <w:color w:val="000000"/>
          <w:lang w:val="en-US"/>
        </w:rPr>
        <w:t xml:space="preserve"> definition of beam correspondence requirement in TS 38.101-2:</w:t>
      </w:r>
    </w:p>
    <w:p w14:paraId="147B4FD4" w14:textId="55369AB8" w:rsidR="003D7142" w:rsidRPr="00901B12" w:rsidRDefault="003D7142" w:rsidP="00901B12">
      <w:pPr>
        <w:ind w:left="284"/>
        <w:jc w:val="both"/>
        <w:rPr>
          <w:b/>
          <w:i/>
          <w:color w:val="000000"/>
          <w:lang w:val="en-US"/>
        </w:rPr>
      </w:pPr>
      <w:r w:rsidRPr="00901B12">
        <w:rPr>
          <w:b/>
          <w:i/>
          <w:color w:val="000000"/>
          <w:lang w:val="en-US"/>
        </w:rPr>
        <w:t>The b</w:t>
      </w:r>
      <w:r w:rsidR="00A97EB8" w:rsidRPr="00901B12">
        <w:rPr>
          <w:b/>
          <w:i/>
          <w:color w:val="000000"/>
          <w:lang w:val="en-US"/>
        </w:rPr>
        <w:t xml:space="preserve">eam correspondence requirement measures the ability of the UE to select a </w:t>
      </w:r>
      <w:r w:rsidR="00A97EB8" w:rsidRPr="00901B12">
        <w:rPr>
          <w:b/>
          <w:color w:val="000000"/>
          <w:lang w:val="en-US"/>
        </w:rPr>
        <w:t>corresponding beam</w:t>
      </w:r>
      <w:r w:rsidR="00A97EB8" w:rsidRPr="00901B12">
        <w:rPr>
          <w:b/>
          <w:i/>
          <w:color w:val="000000"/>
          <w:lang w:val="en-US"/>
        </w:rPr>
        <w:t xml:space="preserve"> for UL transmission based on DL measurements. </w:t>
      </w:r>
      <w:r w:rsidR="00BD4637" w:rsidRPr="00901B12">
        <w:rPr>
          <w:b/>
          <w:i/>
          <w:color w:val="000000"/>
          <w:lang w:val="en-US"/>
        </w:rPr>
        <w:t>A</w:t>
      </w:r>
      <w:r w:rsidR="00A97EB8" w:rsidRPr="00901B12">
        <w:rPr>
          <w:b/>
          <w:i/>
          <w:color w:val="000000"/>
          <w:lang w:val="en-US"/>
        </w:rPr>
        <w:t xml:space="preserve"> </w:t>
      </w:r>
      <w:r w:rsidR="00A97EB8" w:rsidRPr="00901B12">
        <w:rPr>
          <w:b/>
          <w:color w:val="000000"/>
          <w:lang w:val="en-US"/>
        </w:rPr>
        <w:t>corresponding beam</w:t>
      </w:r>
      <w:r w:rsidR="00A97EB8" w:rsidRPr="00901B12">
        <w:rPr>
          <w:b/>
          <w:i/>
          <w:color w:val="000000"/>
          <w:lang w:val="en-US"/>
        </w:rPr>
        <w:t xml:space="preserve"> is defined as follows:</w:t>
      </w:r>
    </w:p>
    <w:p w14:paraId="39D664F8" w14:textId="6B32AAAB" w:rsidR="00A97EB8" w:rsidRPr="00901B12" w:rsidRDefault="00A97EB8" w:rsidP="00901B12">
      <w:pPr>
        <w:ind w:left="284"/>
        <w:jc w:val="both"/>
        <w:rPr>
          <w:b/>
          <w:i/>
          <w:color w:val="000000"/>
          <w:lang w:val="en-US"/>
        </w:rPr>
      </w:pPr>
      <w:r w:rsidRPr="00901B12">
        <w:rPr>
          <w:b/>
          <w:i/>
          <w:color w:val="000000"/>
          <w:lang w:val="en-US"/>
        </w:rPr>
        <w:t xml:space="preserve">For any </w:t>
      </w:r>
      <w:r w:rsidR="00BD4637" w:rsidRPr="00901B12">
        <w:rPr>
          <w:b/>
          <w:i/>
          <w:color w:val="000000"/>
          <w:lang w:val="en-US"/>
        </w:rPr>
        <w:t>link</w:t>
      </w:r>
      <w:r w:rsidRPr="00901B12">
        <w:rPr>
          <w:b/>
          <w:i/>
          <w:color w:val="000000"/>
          <w:lang w:val="en-US"/>
        </w:rPr>
        <w:t xml:space="preserve"> </w:t>
      </w:r>
      <w:r w:rsidR="00BD4637" w:rsidRPr="00901B12">
        <w:rPr>
          <w:b/>
          <w:i/>
          <w:color w:val="000000"/>
          <w:lang w:val="en-US"/>
        </w:rPr>
        <w:t>direction between UE and BS, the UE selected beam for UL transmission is a “corresponding beam” if the UE EIRP measured for the selected beam is within X</w:t>
      </w:r>
      <w:r w:rsidR="00236395">
        <w:rPr>
          <w:b/>
          <w:i/>
          <w:color w:val="000000"/>
          <w:lang w:val="en-US"/>
        </w:rPr>
        <w:t xml:space="preserve"> </w:t>
      </w:r>
      <w:r w:rsidR="00BD4637" w:rsidRPr="00901B12">
        <w:rPr>
          <w:b/>
          <w:i/>
          <w:color w:val="000000"/>
          <w:lang w:val="en-US"/>
        </w:rPr>
        <w:t xml:space="preserve">dB from the maximum achievable EIRP in the same direction. </w:t>
      </w:r>
      <w:proofErr w:type="spellStart"/>
      <w:r w:rsidR="00BD4637" w:rsidRPr="00901B12">
        <w:rPr>
          <w:b/>
          <w:i/>
          <w:color w:val="000000"/>
          <w:lang w:val="en-US"/>
        </w:rPr>
        <w:t>XdB</w:t>
      </w:r>
      <w:proofErr w:type="spellEnd"/>
      <w:r w:rsidR="00BD4637" w:rsidRPr="00901B12">
        <w:rPr>
          <w:b/>
          <w:i/>
          <w:color w:val="000000"/>
          <w:lang w:val="en-US"/>
        </w:rPr>
        <w:t xml:space="preserve"> is the beam correspondence tolerance. </w:t>
      </w:r>
    </w:p>
    <w:p w14:paraId="3E58D3C2" w14:textId="6BC26A0D" w:rsidR="00BD4637" w:rsidRPr="00901B12" w:rsidRDefault="00BD4637" w:rsidP="00901B12">
      <w:pPr>
        <w:ind w:left="284"/>
        <w:jc w:val="both"/>
        <w:rPr>
          <w:b/>
          <w:i/>
          <w:color w:val="000000"/>
          <w:lang w:val="en-US"/>
        </w:rPr>
      </w:pPr>
      <w:r w:rsidRPr="00901B12">
        <w:rPr>
          <w:b/>
          <w:i/>
          <w:color w:val="000000"/>
          <w:lang w:val="en-US"/>
        </w:rPr>
        <w:t xml:space="preserve">To declare </w:t>
      </w:r>
      <w:r w:rsidRPr="00901B12">
        <w:rPr>
          <w:b/>
          <w:color w:val="000000"/>
          <w:lang w:val="en-US"/>
        </w:rPr>
        <w:t>beam correspondence</w:t>
      </w:r>
      <w:r w:rsidRPr="00901B12">
        <w:rPr>
          <w:b/>
          <w:i/>
          <w:color w:val="000000"/>
          <w:lang w:val="en-US"/>
        </w:rPr>
        <w:t xml:space="preserve"> the UE shall be able to select a corresponding beam in any link direction. </w:t>
      </w:r>
    </w:p>
    <w:p w14:paraId="5624D2B2" w14:textId="12421798" w:rsidR="00901B12" w:rsidRDefault="0071430D" w:rsidP="0071430D">
      <w:pPr>
        <w:jc w:val="both"/>
        <w:rPr>
          <w:color w:val="000000"/>
          <w:lang w:val="en-US"/>
        </w:rPr>
      </w:pPr>
      <w:r>
        <w:rPr>
          <w:color w:val="000000"/>
          <w:lang w:val="en-US"/>
        </w:rPr>
        <w:lastRenderedPageBreak/>
        <w:t xml:space="preserve">So </w:t>
      </w:r>
      <w:proofErr w:type="gramStart"/>
      <w:r>
        <w:rPr>
          <w:color w:val="000000"/>
          <w:lang w:val="en-US"/>
        </w:rPr>
        <w:t>far</w:t>
      </w:r>
      <w:proofErr w:type="gramEnd"/>
      <w:r>
        <w:rPr>
          <w:color w:val="000000"/>
          <w:lang w:val="en-US"/>
        </w:rPr>
        <w:t xml:space="preserve"> we only focused on the requirement definition. Our preference is indeed to identify a specific requirement for beam correspondence and decouple it from both power class and power control requirements. With the regards to the power class relationship, i.e. the EIRP CDF, we note</w:t>
      </w:r>
      <w:r w:rsidR="00901B12">
        <w:rPr>
          <w:color w:val="000000"/>
          <w:lang w:val="en-US"/>
        </w:rPr>
        <w:t xml:space="preserve"> that </w:t>
      </w:r>
      <w:r w:rsidR="008A5CD7">
        <w:rPr>
          <w:color w:val="000000"/>
          <w:lang w:val="en-US"/>
        </w:rPr>
        <w:t>our</w:t>
      </w:r>
      <w:r w:rsidR="00901B12">
        <w:rPr>
          <w:color w:val="000000"/>
          <w:lang w:val="en-US"/>
        </w:rPr>
        <w:t xml:space="preserve"> approach has the following advantage:</w:t>
      </w:r>
    </w:p>
    <w:p w14:paraId="549E6020" w14:textId="03D35EC8" w:rsidR="00BD4637" w:rsidRDefault="00901B12" w:rsidP="00901B12">
      <w:pPr>
        <w:pStyle w:val="ListParagraph"/>
        <w:numPr>
          <w:ilvl w:val="0"/>
          <w:numId w:val="45"/>
        </w:numPr>
        <w:jc w:val="both"/>
        <w:rPr>
          <w:color w:val="000000"/>
          <w:lang w:val="en-US"/>
        </w:rPr>
      </w:pPr>
      <w:r>
        <w:rPr>
          <w:color w:val="000000"/>
          <w:lang w:val="en-US"/>
        </w:rPr>
        <w:t>If needed, a capability can be defined which is independent on EIRP CDF.</w:t>
      </w:r>
    </w:p>
    <w:p w14:paraId="156A736C" w14:textId="453DBAF3" w:rsidR="00901B12" w:rsidRDefault="00901B12" w:rsidP="00531474">
      <w:pPr>
        <w:pStyle w:val="ListParagraph"/>
        <w:numPr>
          <w:ilvl w:val="0"/>
          <w:numId w:val="45"/>
        </w:numPr>
        <w:jc w:val="both"/>
        <w:rPr>
          <w:color w:val="000000"/>
          <w:lang w:val="en-US"/>
        </w:rPr>
      </w:pPr>
      <w:r w:rsidRPr="00901B12">
        <w:rPr>
          <w:color w:val="000000"/>
          <w:lang w:val="en-US"/>
        </w:rPr>
        <w:t xml:space="preserve">It </w:t>
      </w:r>
      <w:r w:rsidR="0071430D">
        <w:rPr>
          <w:color w:val="000000"/>
          <w:lang w:val="en-US"/>
        </w:rPr>
        <w:t>allow</w:t>
      </w:r>
      <w:r w:rsidRPr="00901B12">
        <w:rPr>
          <w:color w:val="000000"/>
          <w:lang w:val="en-US"/>
        </w:rPr>
        <w:t>s</w:t>
      </w:r>
      <w:r w:rsidR="0071430D">
        <w:rPr>
          <w:color w:val="000000"/>
          <w:lang w:val="en-US"/>
        </w:rPr>
        <w:t xml:space="preserve"> to define</w:t>
      </w:r>
      <w:r w:rsidRPr="00901B12">
        <w:rPr>
          <w:color w:val="000000"/>
          <w:lang w:val="en-US"/>
        </w:rPr>
        <w:t xml:space="preserve"> </w:t>
      </w:r>
      <w:r>
        <w:rPr>
          <w:color w:val="000000"/>
          <w:lang w:val="en-US"/>
        </w:rPr>
        <w:t xml:space="preserve">the beam correspondence </w:t>
      </w:r>
      <w:r w:rsidR="0071430D">
        <w:rPr>
          <w:color w:val="000000"/>
          <w:lang w:val="en-US"/>
        </w:rPr>
        <w:t xml:space="preserve">without the need </w:t>
      </w:r>
      <w:r w:rsidR="008A5CD7">
        <w:rPr>
          <w:color w:val="000000"/>
          <w:lang w:val="en-US"/>
        </w:rPr>
        <w:t xml:space="preserve">of </w:t>
      </w:r>
      <w:r w:rsidR="0071430D">
        <w:rPr>
          <w:color w:val="000000"/>
          <w:lang w:val="en-US"/>
        </w:rPr>
        <w:t xml:space="preserve">waiting for an agreement on </w:t>
      </w:r>
      <w:r>
        <w:rPr>
          <w:color w:val="000000"/>
          <w:lang w:val="en-US"/>
        </w:rPr>
        <w:t>the EIRP CDF which is controversial in RAN4.</w:t>
      </w:r>
    </w:p>
    <w:p w14:paraId="0D488031" w14:textId="2CFDDFA8" w:rsidR="001F7671" w:rsidRDefault="0071430D" w:rsidP="00A5032F">
      <w:pPr>
        <w:jc w:val="both"/>
        <w:rPr>
          <w:color w:val="000000"/>
          <w:lang w:val="en-US"/>
        </w:rPr>
      </w:pPr>
      <w:r>
        <w:rPr>
          <w:color w:val="000000"/>
          <w:lang w:val="en-US"/>
        </w:rPr>
        <w:t xml:space="preserve">Our preference is also to decouple it from open loop power control requirements, so different from what suggested in </w:t>
      </w:r>
      <w:r>
        <w:rPr>
          <w:color w:val="000000"/>
          <w:lang w:val="en-US"/>
        </w:rPr>
        <w:fldChar w:fldCharType="begin"/>
      </w:r>
      <w:r>
        <w:rPr>
          <w:color w:val="000000"/>
          <w:lang w:val="en-US"/>
        </w:rPr>
        <w:instrText xml:space="preserve"> REF _Ref510706967 \r \h </w:instrText>
      </w:r>
      <w:r>
        <w:rPr>
          <w:color w:val="000000"/>
          <w:lang w:val="en-US"/>
        </w:rPr>
      </w:r>
      <w:r>
        <w:rPr>
          <w:color w:val="000000"/>
          <w:lang w:val="en-US"/>
        </w:rPr>
        <w:fldChar w:fldCharType="separate"/>
      </w:r>
      <w:r w:rsidR="0036551D">
        <w:rPr>
          <w:color w:val="000000"/>
          <w:lang w:val="en-US"/>
        </w:rPr>
        <w:t>[8]</w:t>
      </w:r>
      <w:r>
        <w:rPr>
          <w:color w:val="000000"/>
          <w:lang w:val="en-US"/>
        </w:rPr>
        <w:fldChar w:fldCharType="end"/>
      </w:r>
      <w:r>
        <w:rPr>
          <w:color w:val="000000"/>
          <w:lang w:val="en-US"/>
        </w:rPr>
        <w:t>.</w:t>
      </w:r>
    </w:p>
    <w:p w14:paraId="3C46FB03" w14:textId="289DAE91" w:rsidR="00BB2BEC" w:rsidRDefault="0071430D" w:rsidP="00A5032F">
      <w:pPr>
        <w:jc w:val="both"/>
        <w:rPr>
          <w:color w:val="000000"/>
          <w:lang w:val="en-US"/>
        </w:rPr>
      </w:pPr>
      <w:r>
        <w:rPr>
          <w:color w:val="000000"/>
          <w:lang w:val="en-US"/>
        </w:rPr>
        <w:t xml:space="preserve">Moving now to the test definition, many observations were made about testing time. If possible, it is also our preference to have a test procedure which can at the same time test different requirements, e.g. beam correspondence and spherical coverage. However, at this stage it is not possible to decide on the requirement based on the test procedure. If we look at the spherical coverage as proposed in </w:t>
      </w:r>
      <w:r>
        <w:rPr>
          <w:color w:val="000000"/>
          <w:lang w:val="en-US"/>
        </w:rPr>
        <w:fldChar w:fldCharType="begin"/>
      </w:r>
      <w:r>
        <w:rPr>
          <w:color w:val="000000"/>
          <w:lang w:val="en-US"/>
        </w:rPr>
        <w:instrText xml:space="preserve"> REF _Ref510695900 \r \h </w:instrText>
      </w:r>
      <w:r>
        <w:rPr>
          <w:color w:val="000000"/>
          <w:lang w:val="en-US"/>
        </w:rPr>
      </w:r>
      <w:r>
        <w:rPr>
          <w:color w:val="000000"/>
          <w:lang w:val="en-US"/>
        </w:rPr>
        <w:fldChar w:fldCharType="separate"/>
      </w:r>
      <w:r w:rsidR="0036551D">
        <w:rPr>
          <w:color w:val="000000"/>
          <w:lang w:val="en-US"/>
        </w:rPr>
        <w:t>[5]</w:t>
      </w:r>
      <w:r>
        <w:rPr>
          <w:color w:val="000000"/>
          <w:lang w:val="en-US"/>
        </w:rPr>
        <w:fldChar w:fldCharType="end"/>
      </w:r>
      <w:r>
        <w:rPr>
          <w:color w:val="000000"/>
          <w:lang w:val="en-US"/>
        </w:rPr>
        <w:t xml:space="preserve">, </w:t>
      </w:r>
      <w:r w:rsidR="00BB2BEC">
        <w:rPr>
          <w:color w:val="000000"/>
          <w:lang w:val="en-US"/>
        </w:rPr>
        <w:t xml:space="preserve">the main issue is that the requirement itself is not defined and, </w:t>
      </w:r>
      <w:proofErr w:type="gramStart"/>
      <w:r w:rsidR="00BB2BEC">
        <w:rPr>
          <w:color w:val="000000"/>
          <w:lang w:val="en-US"/>
        </w:rPr>
        <w:t>as a consequence</w:t>
      </w:r>
      <w:proofErr w:type="gramEnd"/>
      <w:r w:rsidR="00BB2BEC">
        <w:rPr>
          <w:color w:val="000000"/>
          <w:lang w:val="en-US"/>
        </w:rPr>
        <w:t xml:space="preserve">, relying on that test could lead to a very weak correspondence requirement. </w:t>
      </w:r>
    </w:p>
    <w:p w14:paraId="16B527AE" w14:textId="7E6EAA94" w:rsidR="0071430D" w:rsidRDefault="00BB2BEC" w:rsidP="00A5032F">
      <w:pPr>
        <w:jc w:val="both"/>
        <w:rPr>
          <w:color w:val="000000"/>
          <w:lang w:val="en-US"/>
        </w:rPr>
      </w:pPr>
      <w:r>
        <w:rPr>
          <w:color w:val="000000"/>
          <w:lang w:val="en-US"/>
        </w:rPr>
        <w:t xml:space="preserve">On the other hand, if RAN4 decides for a good spherical coverage requirement for Rel15, the possibility </w:t>
      </w:r>
      <w:r w:rsidR="00AF31E1">
        <w:rPr>
          <w:color w:val="000000"/>
          <w:lang w:val="en-US"/>
        </w:rPr>
        <w:t xml:space="preserve">to reduce amount of testing </w:t>
      </w:r>
      <w:r w:rsidR="00201E1D">
        <w:rPr>
          <w:color w:val="000000"/>
          <w:lang w:val="en-US"/>
        </w:rPr>
        <w:t xml:space="preserve">by using a test procedure adopted for a different requirement might be considered. </w:t>
      </w:r>
    </w:p>
    <w:p w14:paraId="68DF9DDF" w14:textId="630926E8" w:rsidR="00201E1D" w:rsidRPr="001F7671" w:rsidRDefault="00201E1D" w:rsidP="00A5032F">
      <w:pPr>
        <w:jc w:val="both"/>
        <w:rPr>
          <w:color w:val="000000"/>
          <w:lang w:val="en-US"/>
        </w:rPr>
      </w:pPr>
      <w:r w:rsidRPr="00901B12">
        <w:rPr>
          <w:b/>
          <w:i/>
          <w:color w:val="000000"/>
          <w:lang w:val="en-US"/>
        </w:rPr>
        <w:t xml:space="preserve">Proposal </w:t>
      </w:r>
      <w:r>
        <w:rPr>
          <w:b/>
          <w:i/>
          <w:color w:val="000000"/>
          <w:lang w:val="en-US"/>
        </w:rPr>
        <w:t>5</w:t>
      </w:r>
      <w:r w:rsidRPr="00901B12">
        <w:rPr>
          <w:b/>
          <w:i/>
          <w:color w:val="000000"/>
          <w:lang w:val="en-US"/>
        </w:rPr>
        <w:t>:</w:t>
      </w:r>
      <w:r>
        <w:rPr>
          <w:b/>
          <w:i/>
          <w:color w:val="000000"/>
          <w:lang w:val="en-US"/>
        </w:rPr>
        <w:t xml:space="preserve"> RAN4 should define first the beam correspondence requirement in TS 38.101-2. Once the requirement is identified and specified, different options for the testing procedure can be considered, including applying a single test procedure to test multiple requirements. </w:t>
      </w:r>
    </w:p>
    <w:p w14:paraId="53404A85" w14:textId="4EA32936" w:rsidR="007F2705" w:rsidRPr="00B80E63" w:rsidRDefault="00B80E63" w:rsidP="00B80E63">
      <w:pPr>
        <w:pStyle w:val="Heading1"/>
        <w:numPr>
          <w:ilvl w:val="0"/>
          <w:numId w:val="0"/>
        </w:numPr>
        <w:tabs>
          <w:tab w:val="num" w:pos="432"/>
        </w:tabs>
        <w:ind w:left="432" w:hanging="432"/>
        <w:jc w:val="both"/>
        <w:rPr>
          <w:lang w:val="en-US"/>
        </w:rPr>
      </w:pPr>
      <w:r>
        <w:rPr>
          <w:lang w:val="en-US"/>
        </w:rPr>
        <w:t>Conclusions</w:t>
      </w:r>
    </w:p>
    <w:p w14:paraId="7218E67A" w14:textId="443EB2D6" w:rsidR="00A5032F" w:rsidRDefault="0091110E" w:rsidP="00A5032F">
      <w:pPr>
        <w:rPr>
          <w:lang w:val="en-US"/>
        </w:rPr>
      </w:pPr>
      <w:r>
        <w:rPr>
          <w:lang w:val="en-US"/>
        </w:rPr>
        <w:t>In this contribution</w:t>
      </w:r>
      <w:r w:rsidR="00201E1D">
        <w:rPr>
          <w:lang w:val="en-US"/>
        </w:rPr>
        <w:t xml:space="preserve"> we focused on the beam correspondence requirement to be specified in TS 38.101-2. Our preference is to first define the requirement based on system level needs, and once the requirement is specified to develop a test procedure which </w:t>
      </w:r>
      <w:r w:rsidR="00CF5F58">
        <w:rPr>
          <w:lang w:val="en-US"/>
        </w:rPr>
        <w:t>considers</w:t>
      </w:r>
      <w:r w:rsidR="00201E1D">
        <w:rPr>
          <w:lang w:val="en-US"/>
        </w:rPr>
        <w:t xml:space="preserve"> trade-off between complexity and accuracy. </w:t>
      </w:r>
    </w:p>
    <w:p w14:paraId="34C3CD49" w14:textId="5EC5D404" w:rsidR="00201E1D" w:rsidRDefault="008A5CD7" w:rsidP="00A5032F">
      <w:pPr>
        <w:rPr>
          <w:color w:val="000000"/>
        </w:rPr>
      </w:pPr>
      <w:r>
        <w:rPr>
          <w:color w:val="000000"/>
        </w:rPr>
        <w:t>We</w:t>
      </w:r>
      <w:r w:rsidR="00201E1D">
        <w:rPr>
          <w:color w:val="000000"/>
        </w:rPr>
        <w:t xml:space="preserve"> presented the following proposals for the requirement specification:</w:t>
      </w:r>
    </w:p>
    <w:p w14:paraId="25BC3007" w14:textId="77777777" w:rsidR="00201E1D" w:rsidRDefault="00201E1D" w:rsidP="00201E1D">
      <w:pPr>
        <w:jc w:val="both"/>
        <w:rPr>
          <w:b/>
          <w:i/>
          <w:color w:val="000000"/>
          <w:lang w:val="en-US"/>
        </w:rPr>
      </w:pPr>
      <w:r w:rsidRPr="00526347">
        <w:rPr>
          <w:b/>
          <w:i/>
          <w:color w:val="000000"/>
          <w:lang w:val="en-US"/>
        </w:rPr>
        <w:t xml:space="preserve">Proposal 1: </w:t>
      </w:r>
      <w:r>
        <w:rPr>
          <w:b/>
          <w:i/>
          <w:color w:val="000000"/>
          <w:lang w:val="en-US"/>
        </w:rPr>
        <w:t>beam correspondence requirement should be only based on UE Tx measurements performed by the TE.</w:t>
      </w:r>
    </w:p>
    <w:p w14:paraId="020586A2" w14:textId="77777777" w:rsidR="00201E1D" w:rsidRDefault="00201E1D" w:rsidP="00201E1D">
      <w:pPr>
        <w:jc w:val="both"/>
        <w:rPr>
          <w:b/>
          <w:i/>
          <w:color w:val="000000"/>
          <w:lang w:val="en-US"/>
        </w:rPr>
      </w:pPr>
      <w:r w:rsidRPr="00526347">
        <w:rPr>
          <w:b/>
          <w:i/>
          <w:color w:val="000000"/>
          <w:lang w:val="en-US"/>
        </w:rPr>
        <w:t xml:space="preserve">Proposal </w:t>
      </w:r>
      <w:r>
        <w:rPr>
          <w:b/>
          <w:i/>
          <w:color w:val="000000"/>
          <w:lang w:val="en-US"/>
        </w:rPr>
        <w:t>2</w:t>
      </w:r>
      <w:r w:rsidRPr="00526347">
        <w:rPr>
          <w:b/>
          <w:i/>
          <w:color w:val="000000"/>
          <w:lang w:val="en-US"/>
        </w:rPr>
        <w:t xml:space="preserve">: </w:t>
      </w:r>
      <w:r>
        <w:rPr>
          <w:b/>
          <w:i/>
          <w:color w:val="000000"/>
          <w:lang w:val="en-US"/>
        </w:rPr>
        <w:t>the metric to be used in beam correspondence requirement is EIRP.</w:t>
      </w:r>
    </w:p>
    <w:p w14:paraId="1A723E7A" w14:textId="77777777" w:rsidR="00201E1D" w:rsidRDefault="00201E1D" w:rsidP="00201E1D">
      <w:pPr>
        <w:jc w:val="both"/>
        <w:rPr>
          <w:b/>
          <w:i/>
          <w:color w:val="000000"/>
          <w:lang w:val="en-US"/>
        </w:rPr>
      </w:pPr>
      <w:r w:rsidRPr="00526347">
        <w:rPr>
          <w:b/>
          <w:i/>
          <w:color w:val="000000"/>
          <w:lang w:val="en-US"/>
        </w:rPr>
        <w:t xml:space="preserve">Proposal </w:t>
      </w:r>
      <w:r>
        <w:rPr>
          <w:b/>
          <w:i/>
          <w:color w:val="000000"/>
          <w:lang w:val="en-US"/>
        </w:rPr>
        <w:t>3</w:t>
      </w:r>
      <w:r w:rsidRPr="00526347">
        <w:rPr>
          <w:b/>
          <w:i/>
          <w:color w:val="000000"/>
          <w:lang w:val="en-US"/>
        </w:rPr>
        <w:t xml:space="preserve">: </w:t>
      </w:r>
      <w:r>
        <w:rPr>
          <w:b/>
          <w:i/>
          <w:color w:val="000000"/>
          <w:lang w:val="en-US"/>
        </w:rPr>
        <w:t>the EIRP measured in a given direction should be within a tolerance margin compared to the best achievable EIRP in the same direction.</w:t>
      </w:r>
    </w:p>
    <w:p w14:paraId="6B698950" w14:textId="77777777" w:rsidR="00201E1D" w:rsidRPr="00901B12" w:rsidRDefault="00201E1D" w:rsidP="00201E1D">
      <w:pPr>
        <w:jc w:val="both"/>
        <w:rPr>
          <w:b/>
          <w:i/>
          <w:color w:val="000000"/>
          <w:lang w:val="en-US"/>
        </w:rPr>
      </w:pPr>
      <w:r w:rsidRPr="00901B12">
        <w:rPr>
          <w:b/>
          <w:i/>
          <w:color w:val="000000"/>
          <w:lang w:val="en-US"/>
        </w:rPr>
        <w:t>Proposal 4:</w:t>
      </w:r>
      <w:r>
        <w:rPr>
          <w:b/>
          <w:i/>
          <w:color w:val="000000"/>
          <w:lang w:val="en-US"/>
        </w:rPr>
        <w:t xml:space="preserve"> definition of beam correspondence requirement in TS 38.101-2:</w:t>
      </w:r>
    </w:p>
    <w:p w14:paraId="4AC5C543" w14:textId="77777777" w:rsidR="00201E1D" w:rsidRPr="00901B12" w:rsidRDefault="00201E1D" w:rsidP="00201E1D">
      <w:pPr>
        <w:ind w:left="284"/>
        <w:jc w:val="both"/>
        <w:rPr>
          <w:b/>
          <w:i/>
          <w:color w:val="000000"/>
          <w:lang w:val="en-US"/>
        </w:rPr>
      </w:pPr>
      <w:r w:rsidRPr="00901B12">
        <w:rPr>
          <w:b/>
          <w:i/>
          <w:color w:val="000000"/>
          <w:lang w:val="en-US"/>
        </w:rPr>
        <w:t xml:space="preserve">The beam correspondence requirement measures the ability of the UE to select a </w:t>
      </w:r>
      <w:r w:rsidRPr="00901B12">
        <w:rPr>
          <w:b/>
          <w:color w:val="000000"/>
          <w:lang w:val="en-US"/>
        </w:rPr>
        <w:t>corresponding beam</w:t>
      </w:r>
      <w:r w:rsidRPr="00901B12">
        <w:rPr>
          <w:b/>
          <w:i/>
          <w:color w:val="000000"/>
          <w:lang w:val="en-US"/>
        </w:rPr>
        <w:t xml:space="preserve"> for UL transmission based on DL measurements. A </w:t>
      </w:r>
      <w:r w:rsidRPr="00901B12">
        <w:rPr>
          <w:b/>
          <w:color w:val="000000"/>
          <w:lang w:val="en-US"/>
        </w:rPr>
        <w:t>corresponding beam</w:t>
      </w:r>
      <w:r w:rsidRPr="00901B12">
        <w:rPr>
          <w:b/>
          <w:i/>
          <w:color w:val="000000"/>
          <w:lang w:val="en-US"/>
        </w:rPr>
        <w:t xml:space="preserve"> is defined as follows:</w:t>
      </w:r>
    </w:p>
    <w:p w14:paraId="202D7747" w14:textId="695FF9B5" w:rsidR="00201E1D" w:rsidRPr="00901B12" w:rsidRDefault="00201E1D" w:rsidP="00201E1D">
      <w:pPr>
        <w:ind w:left="284"/>
        <w:jc w:val="both"/>
        <w:rPr>
          <w:b/>
          <w:i/>
          <w:color w:val="000000"/>
          <w:lang w:val="en-US"/>
        </w:rPr>
      </w:pPr>
      <w:r w:rsidRPr="00901B12">
        <w:rPr>
          <w:b/>
          <w:i/>
          <w:color w:val="000000"/>
          <w:lang w:val="en-US"/>
        </w:rPr>
        <w:t>For any link direction between UE and BS, the UE selected beam for UL transmission is a “corresponding beam” if the UE EIRP measured for the selected beam is within X</w:t>
      </w:r>
      <w:r w:rsidR="00236395">
        <w:rPr>
          <w:b/>
          <w:i/>
          <w:color w:val="000000"/>
          <w:lang w:val="en-US"/>
        </w:rPr>
        <w:t xml:space="preserve"> </w:t>
      </w:r>
      <w:r w:rsidRPr="00901B12">
        <w:rPr>
          <w:b/>
          <w:i/>
          <w:color w:val="000000"/>
          <w:lang w:val="en-US"/>
        </w:rPr>
        <w:t>dB from the maximum achievable EIRP in the same direction. X</w:t>
      </w:r>
      <w:r w:rsidR="00ED5BDC">
        <w:rPr>
          <w:b/>
          <w:i/>
          <w:color w:val="000000"/>
          <w:lang w:val="en-US"/>
        </w:rPr>
        <w:t xml:space="preserve"> </w:t>
      </w:r>
      <w:bookmarkStart w:id="1" w:name="_GoBack"/>
      <w:bookmarkEnd w:id="1"/>
      <w:r w:rsidRPr="00901B12">
        <w:rPr>
          <w:b/>
          <w:i/>
          <w:color w:val="000000"/>
          <w:lang w:val="en-US"/>
        </w:rPr>
        <w:t xml:space="preserve">dB is the beam correspondence tolerance. </w:t>
      </w:r>
    </w:p>
    <w:p w14:paraId="0B45B3C4" w14:textId="77777777" w:rsidR="00201E1D" w:rsidRPr="00901B12" w:rsidRDefault="00201E1D" w:rsidP="00201E1D">
      <w:pPr>
        <w:ind w:left="284"/>
        <w:jc w:val="both"/>
        <w:rPr>
          <w:b/>
          <w:i/>
          <w:color w:val="000000"/>
          <w:lang w:val="en-US"/>
        </w:rPr>
      </w:pPr>
      <w:r w:rsidRPr="00901B12">
        <w:rPr>
          <w:b/>
          <w:i/>
          <w:color w:val="000000"/>
          <w:lang w:val="en-US"/>
        </w:rPr>
        <w:t xml:space="preserve">To declare </w:t>
      </w:r>
      <w:r w:rsidRPr="00901B12">
        <w:rPr>
          <w:b/>
          <w:color w:val="000000"/>
          <w:lang w:val="en-US"/>
        </w:rPr>
        <w:t>beam correspondence</w:t>
      </w:r>
      <w:r w:rsidRPr="00901B12">
        <w:rPr>
          <w:b/>
          <w:i/>
          <w:color w:val="000000"/>
          <w:lang w:val="en-US"/>
        </w:rPr>
        <w:t xml:space="preserve"> the UE shall be able to select a corresponding beam in any link direction. </w:t>
      </w:r>
    </w:p>
    <w:p w14:paraId="7C3B190B" w14:textId="2A9CEC6C" w:rsidR="00201E1D" w:rsidRPr="00201E1D" w:rsidRDefault="00201E1D" w:rsidP="00A5032F">
      <w:pPr>
        <w:rPr>
          <w:color w:val="000000"/>
          <w:lang w:val="en-US"/>
        </w:rPr>
      </w:pPr>
      <w:r>
        <w:rPr>
          <w:color w:val="000000"/>
          <w:lang w:val="en-US"/>
        </w:rPr>
        <w:t>Regardin</w:t>
      </w:r>
      <w:r w:rsidR="00DA0F6F">
        <w:rPr>
          <w:color w:val="000000"/>
          <w:lang w:val="en-US"/>
        </w:rPr>
        <w:t xml:space="preserve">g testing, </w:t>
      </w:r>
      <w:r w:rsidR="000E1CDB">
        <w:rPr>
          <w:color w:val="000000"/>
          <w:lang w:val="en-US"/>
        </w:rPr>
        <w:t>we</w:t>
      </w:r>
      <w:r w:rsidR="00DA0F6F">
        <w:rPr>
          <w:color w:val="000000"/>
          <w:lang w:val="en-US"/>
        </w:rPr>
        <w:t xml:space="preserve"> suggested the following approach:</w:t>
      </w:r>
    </w:p>
    <w:p w14:paraId="716D1A61" w14:textId="07C75498" w:rsidR="00E322D7" w:rsidRPr="00E322D7" w:rsidRDefault="00201E1D" w:rsidP="00D17C81">
      <w:pPr>
        <w:jc w:val="both"/>
      </w:pPr>
      <w:r w:rsidRPr="00901B12">
        <w:rPr>
          <w:b/>
          <w:i/>
          <w:color w:val="000000"/>
          <w:lang w:val="en-US"/>
        </w:rPr>
        <w:t xml:space="preserve">Proposal </w:t>
      </w:r>
      <w:r>
        <w:rPr>
          <w:b/>
          <w:i/>
          <w:color w:val="000000"/>
          <w:lang w:val="en-US"/>
        </w:rPr>
        <w:t>5</w:t>
      </w:r>
      <w:r w:rsidRPr="00901B12">
        <w:rPr>
          <w:b/>
          <w:i/>
          <w:color w:val="000000"/>
          <w:lang w:val="en-US"/>
        </w:rPr>
        <w:t>:</w:t>
      </w:r>
      <w:r>
        <w:rPr>
          <w:b/>
          <w:i/>
          <w:color w:val="000000"/>
          <w:lang w:val="en-US"/>
        </w:rPr>
        <w:t xml:space="preserve"> RAN4 should define first the beam correspondence requirement in TS 38.101-2. Once the requirement is identified and specified, different options for the testing procedure can be considered, including applying a single test procedure to test multiple requirements. </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467AB260" w14:textId="2D242DDE" w:rsidR="00B47DD5" w:rsidRDefault="00B47DD5" w:rsidP="00B47DD5">
      <w:pPr>
        <w:pStyle w:val="ListParagraph"/>
        <w:numPr>
          <w:ilvl w:val="0"/>
          <w:numId w:val="2"/>
        </w:numPr>
        <w:rPr>
          <w:lang w:val="en-US"/>
        </w:rPr>
      </w:pPr>
      <w:bookmarkStart w:id="2" w:name="_Ref510694526"/>
      <w:bookmarkStart w:id="3" w:name="_Ref510622279"/>
      <w:bookmarkStart w:id="4" w:name="_Ref498001918"/>
      <w:bookmarkStart w:id="5" w:name="_Ref489522242"/>
      <w:bookmarkStart w:id="6" w:name="_Ref489521993"/>
      <w:bookmarkStart w:id="7" w:name="_Ref481663184"/>
      <w:bookmarkStart w:id="8" w:name="_Ref473813022"/>
      <w:bookmarkStart w:id="9" w:name="_Ref465947019"/>
      <w:r>
        <w:rPr>
          <w:rFonts w:hint="eastAsia"/>
          <w:lang w:val="en-US" w:eastAsia="ja-JP"/>
        </w:rPr>
        <w:t>R</w:t>
      </w:r>
      <w:r>
        <w:rPr>
          <w:lang w:val="en-US" w:eastAsia="ja-JP"/>
        </w:rPr>
        <w:t>4-1700190, “</w:t>
      </w:r>
      <w:r w:rsidRPr="00C367A3">
        <w:rPr>
          <w:lang w:val="en-US" w:eastAsia="ja-JP"/>
        </w:rPr>
        <w:t>Beam Correspondence for NR</w:t>
      </w:r>
      <w:r>
        <w:rPr>
          <w:lang w:val="en-US" w:eastAsia="ja-JP"/>
        </w:rPr>
        <w:t>”, Qualcomm Incorporated.</w:t>
      </w:r>
      <w:bookmarkEnd w:id="2"/>
    </w:p>
    <w:p w14:paraId="6000710B" w14:textId="27DBD73B" w:rsidR="00183F44" w:rsidRDefault="00183F44" w:rsidP="00183F44">
      <w:pPr>
        <w:pStyle w:val="ListParagraph"/>
        <w:numPr>
          <w:ilvl w:val="0"/>
          <w:numId w:val="2"/>
        </w:numPr>
        <w:rPr>
          <w:lang w:val="en-US"/>
        </w:rPr>
      </w:pPr>
      <w:bookmarkStart w:id="10" w:name="_Ref510695498"/>
      <w:r w:rsidRPr="00183F44">
        <w:rPr>
          <w:lang w:val="en-US"/>
        </w:rPr>
        <w:t>R1-1610971</w:t>
      </w:r>
      <w:r>
        <w:rPr>
          <w:lang w:val="en-US"/>
        </w:rPr>
        <w:t>, “</w:t>
      </w:r>
      <w:r w:rsidRPr="00183F44">
        <w:rPr>
          <w:lang w:val="en-US"/>
        </w:rPr>
        <w:t xml:space="preserve">Way Forward on the definition of beam </w:t>
      </w:r>
      <w:r>
        <w:rPr>
          <w:lang w:val="en-US"/>
        </w:rPr>
        <w:t xml:space="preserve">reciprocity”, </w:t>
      </w:r>
      <w:r w:rsidRPr="00183F44">
        <w:rPr>
          <w:lang w:val="en-US"/>
        </w:rPr>
        <w:t xml:space="preserve">Samsung, Qualcomm, </w:t>
      </w:r>
      <w:proofErr w:type="spellStart"/>
      <w:r w:rsidRPr="00183F44">
        <w:rPr>
          <w:lang w:val="en-US"/>
        </w:rPr>
        <w:t>InterDigital</w:t>
      </w:r>
      <w:proofErr w:type="spellEnd"/>
      <w:r w:rsidRPr="00183F44">
        <w:rPr>
          <w:lang w:val="en-US"/>
        </w:rPr>
        <w:t xml:space="preserve">, Intel, IITM, IITH, </w:t>
      </w:r>
      <w:proofErr w:type="spellStart"/>
      <w:r w:rsidRPr="00183F44">
        <w:rPr>
          <w:lang w:val="en-US"/>
        </w:rPr>
        <w:t>CeWIT</w:t>
      </w:r>
      <w:proofErr w:type="spellEnd"/>
      <w:r w:rsidRPr="00183F44">
        <w:rPr>
          <w:lang w:val="en-US"/>
        </w:rPr>
        <w:t xml:space="preserve">, </w:t>
      </w:r>
      <w:proofErr w:type="spellStart"/>
      <w:r w:rsidRPr="00183F44">
        <w:rPr>
          <w:lang w:val="en-US"/>
        </w:rPr>
        <w:t>Tejas</w:t>
      </w:r>
      <w:proofErr w:type="spellEnd"/>
      <w:r w:rsidRPr="00183F44">
        <w:rPr>
          <w:lang w:val="en-US"/>
        </w:rPr>
        <w:t xml:space="preserve"> Networks, KT, MediaTek, AT&amp;T, Verizon, Motorola Mobility, Reliance </w:t>
      </w:r>
      <w:proofErr w:type="spellStart"/>
      <w:r w:rsidRPr="00183F44">
        <w:rPr>
          <w:lang w:val="en-US"/>
        </w:rPr>
        <w:t>Jio</w:t>
      </w:r>
      <w:proofErr w:type="spellEnd"/>
      <w:r w:rsidR="001F7671">
        <w:rPr>
          <w:lang w:val="en-US"/>
        </w:rPr>
        <w:t>.</w:t>
      </w:r>
      <w:bookmarkEnd w:id="10"/>
    </w:p>
    <w:p w14:paraId="6CD0ACE3" w14:textId="515ECC78" w:rsidR="00B47DD5" w:rsidRDefault="00B47DD5" w:rsidP="00B47DD5">
      <w:pPr>
        <w:pStyle w:val="ListParagraph"/>
        <w:numPr>
          <w:ilvl w:val="0"/>
          <w:numId w:val="2"/>
        </w:numPr>
        <w:jc w:val="both"/>
        <w:rPr>
          <w:lang w:val="en-US"/>
        </w:rPr>
      </w:pPr>
      <w:r w:rsidRPr="007E700B">
        <w:rPr>
          <w:lang w:val="en-US"/>
        </w:rPr>
        <w:t>R4-1</w:t>
      </w:r>
      <w:r>
        <w:rPr>
          <w:lang w:val="en-US"/>
        </w:rPr>
        <w:t>803458, “</w:t>
      </w:r>
      <w:r w:rsidRPr="002F51C5">
        <w:rPr>
          <w:lang w:val="en-US"/>
        </w:rPr>
        <w:t>WF</w:t>
      </w:r>
      <w:r>
        <w:rPr>
          <w:lang w:val="en-US"/>
        </w:rPr>
        <w:t xml:space="preserve"> </w:t>
      </w:r>
      <w:r w:rsidRPr="002F51C5">
        <w:rPr>
          <w:lang w:val="en-US"/>
        </w:rPr>
        <w:t>on</w:t>
      </w:r>
      <w:r>
        <w:rPr>
          <w:lang w:val="en-US"/>
        </w:rPr>
        <w:t xml:space="preserve"> </w:t>
      </w:r>
      <w:r w:rsidRPr="002F51C5">
        <w:rPr>
          <w:lang w:val="en-US"/>
        </w:rPr>
        <w:t>the</w:t>
      </w:r>
      <w:r>
        <w:rPr>
          <w:lang w:val="en-US"/>
        </w:rPr>
        <w:t xml:space="preserve"> </w:t>
      </w:r>
      <w:r w:rsidRPr="002F51C5">
        <w:rPr>
          <w:lang w:val="en-US"/>
        </w:rPr>
        <w:t>test</w:t>
      </w:r>
      <w:r>
        <w:rPr>
          <w:lang w:val="en-US"/>
        </w:rPr>
        <w:t xml:space="preserve"> </w:t>
      </w:r>
      <w:r w:rsidRPr="002F51C5">
        <w:rPr>
          <w:lang w:val="en-US"/>
        </w:rPr>
        <w:t>methodology</w:t>
      </w:r>
      <w:r>
        <w:rPr>
          <w:lang w:val="en-US"/>
        </w:rPr>
        <w:t xml:space="preserve"> </w:t>
      </w:r>
      <w:r w:rsidRPr="002F51C5">
        <w:rPr>
          <w:lang w:val="en-US"/>
        </w:rPr>
        <w:t>of</w:t>
      </w:r>
      <w:r>
        <w:rPr>
          <w:lang w:val="en-US"/>
        </w:rPr>
        <w:t xml:space="preserve"> </w:t>
      </w:r>
      <w:r w:rsidRPr="002F51C5">
        <w:rPr>
          <w:lang w:val="en-US"/>
        </w:rPr>
        <w:t>beam correspondence</w:t>
      </w:r>
      <w:r>
        <w:rPr>
          <w:lang w:val="en-US"/>
        </w:rPr>
        <w:t xml:space="preserve">”, </w:t>
      </w:r>
      <w:r w:rsidRPr="002F51C5">
        <w:rPr>
          <w:lang w:val="en-US"/>
        </w:rPr>
        <w:t>LG Electronics, MediaTek</w:t>
      </w:r>
      <w:r>
        <w:rPr>
          <w:lang w:val="en-US"/>
        </w:rPr>
        <w:t>.</w:t>
      </w:r>
    </w:p>
    <w:p w14:paraId="5C0DE757" w14:textId="77777777" w:rsidR="001F7671" w:rsidRDefault="001F7671" w:rsidP="001F7671">
      <w:pPr>
        <w:pStyle w:val="ListParagraph"/>
        <w:numPr>
          <w:ilvl w:val="0"/>
          <w:numId w:val="2"/>
        </w:numPr>
        <w:jc w:val="both"/>
        <w:rPr>
          <w:lang w:val="en-US"/>
        </w:rPr>
      </w:pPr>
      <w:bookmarkStart w:id="11" w:name="_Ref510695860"/>
      <w:r w:rsidRPr="002F51C5">
        <w:rPr>
          <w:lang w:val="en-US"/>
        </w:rPr>
        <w:t>R4-1801637</w:t>
      </w:r>
      <w:r>
        <w:rPr>
          <w:lang w:val="en-US"/>
        </w:rPr>
        <w:t>,</w:t>
      </w:r>
      <w:r w:rsidRPr="002F51C5">
        <w:rPr>
          <w:lang w:val="en-US"/>
        </w:rPr>
        <w:t xml:space="preserve"> </w:t>
      </w:r>
      <w:r>
        <w:rPr>
          <w:lang w:val="en-US"/>
        </w:rPr>
        <w:t>“</w:t>
      </w:r>
      <w:r w:rsidRPr="002F51C5">
        <w:rPr>
          <w:lang w:val="en-US"/>
        </w:rPr>
        <w:t>EIS based EIRP beam correspondence evaluation</w:t>
      </w:r>
      <w:r>
        <w:rPr>
          <w:lang w:val="en-US"/>
        </w:rPr>
        <w:t>”, LGE</w:t>
      </w:r>
      <w:bookmarkEnd w:id="11"/>
    </w:p>
    <w:p w14:paraId="00B7BED4" w14:textId="3208366B" w:rsidR="002F51C5" w:rsidRDefault="002F51C5" w:rsidP="002F51C5">
      <w:pPr>
        <w:pStyle w:val="ListParagraph"/>
        <w:numPr>
          <w:ilvl w:val="0"/>
          <w:numId w:val="2"/>
        </w:numPr>
        <w:jc w:val="both"/>
        <w:rPr>
          <w:lang w:val="en-US"/>
        </w:rPr>
      </w:pPr>
      <w:bookmarkStart w:id="12" w:name="_Ref510695900"/>
      <w:bookmarkEnd w:id="3"/>
      <w:r w:rsidRPr="002F51C5">
        <w:rPr>
          <w:lang w:val="en-US"/>
        </w:rPr>
        <w:t>R4-1802282</w:t>
      </w:r>
      <w:r>
        <w:rPr>
          <w:lang w:val="en-US"/>
        </w:rPr>
        <w:t>, “</w:t>
      </w:r>
      <w:r w:rsidRPr="002F51C5">
        <w:rPr>
          <w:lang w:val="en-US"/>
        </w:rPr>
        <w:t>Partial &amp; full beam correspondence evaluation</w:t>
      </w:r>
      <w:r>
        <w:rPr>
          <w:lang w:val="en-US"/>
        </w:rPr>
        <w:t xml:space="preserve">”, </w:t>
      </w:r>
      <w:r w:rsidRPr="002F51C5">
        <w:rPr>
          <w:lang w:val="en-US"/>
        </w:rPr>
        <w:t>MediaTek</w:t>
      </w:r>
      <w:r>
        <w:rPr>
          <w:lang w:val="en-US"/>
        </w:rPr>
        <w:t xml:space="preserve"> Inc.</w:t>
      </w:r>
      <w:bookmarkEnd w:id="12"/>
    </w:p>
    <w:p w14:paraId="773226BA" w14:textId="659A943A" w:rsidR="001F7671" w:rsidRDefault="001F7671" w:rsidP="001F7671">
      <w:pPr>
        <w:pStyle w:val="ListParagraph"/>
        <w:numPr>
          <w:ilvl w:val="0"/>
          <w:numId w:val="2"/>
        </w:numPr>
        <w:jc w:val="both"/>
        <w:rPr>
          <w:lang w:val="en-US"/>
        </w:rPr>
      </w:pPr>
      <w:bookmarkStart w:id="13" w:name="_Ref510695905"/>
      <w:r w:rsidRPr="002F51C5">
        <w:rPr>
          <w:lang w:val="en-US"/>
        </w:rPr>
        <w:lastRenderedPageBreak/>
        <w:t>R4-1800731</w:t>
      </w:r>
      <w:r>
        <w:rPr>
          <w:lang w:val="en-US"/>
        </w:rPr>
        <w:t>, “</w:t>
      </w:r>
      <w:r w:rsidRPr="002F51C5">
        <w:rPr>
          <w:lang w:val="en-US"/>
        </w:rPr>
        <w:t>Real Tx and best Tx beam correspondence evaluation</w:t>
      </w:r>
      <w:r>
        <w:rPr>
          <w:lang w:val="en-US"/>
        </w:rPr>
        <w:t>”, Qualcomm Incorporated.</w:t>
      </w:r>
      <w:bookmarkEnd w:id="13"/>
    </w:p>
    <w:p w14:paraId="76356F93" w14:textId="7E46A301" w:rsidR="00526347" w:rsidRDefault="00526347" w:rsidP="00526347">
      <w:pPr>
        <w:pStyle w:val="ListParagraph"/>
        <w:numPr>
          <w:ilvl w:val="0"/>
          <w:numId w:val="2"/>
        </w:numPr>
        <w:jc w:val="both"/>
        <w:rPr>
          <w:lang w:val="en-US"/>
        </w:rPr>
      </w:pPr>
      <w:bookmarkStart w:id="14" w:name="_Ref510696483"/>
      <w:r>
        <w:rPr>
          <w:lang w:val="en-US"/>
        </w:rPr>
        <w:t>R4-1713079, “</w:t>
      </w:r>
      <w:r w:rsidRPr="00526347">
        <w:rPr>
          <w:lang w:val="en-US"/>
        </w:rPr>
        <w:t>Beam Correspondence Requirements</w:t>
      </w:r>
      <w:r>
        <w:rPr>
          <w:lang w:val="en-US"/>
        </w:rPr>
        <w:t>”, Qualcomm Incorporated.</w:t>
      </w:r>
      <w:bookmarkEnd w:id="14"/>
    </w:p>
    <w:p w14:paraId="76E86248" w14:textId="7BD05050" w:rsidR="007273E3" w:rsidRDefault="007273E3" w:rsidP="00526347">
      <w:pPr>
        <w:pStyle w:val="ListParagraph"/>
        <w:numPr>
          <w:ilvl w:val="0"/>
          <w:numId w:val="2"/>
        </w:numPr>
        <w:jc w:val="both"/>
        <w:rPr>
          <w:lang w:val="en-US"/>
        </w:rPr>
      </w:pPr>
      <w:bookmarkStart w:id="15" w:name="_Ref510706967"/>
      <w:r>
        <w:rPr>
          <w:lang w:val="en-US"/>
        </w:rPr>
        <w:t>R4-1801798, “Beam correspondence in FR2”, Intel Corporation.</w:t>
      </w:r>
      <w:bookmarkEnd w:id="4"/>
      <w:bookmarkEnd w:id="5"/>
      <w:bookmarkEnd w:id="6"/>
      <w:bookmarkEnd w:id="7"/>
      <w:bookmarkEnd w:id="8"/>
      <w:bookmarkEnd w:id="9"/>
      <w:bookmarkEnd w:id="15"/>
    </w:p>
    <w:sectPr w:rsidR="007273E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479F4" w14:textId="77777777" w:rsidR="008D4C00" w:rsidRDefault="008D4C00">
      <w:r>
        <w:separator/>
      </w:r>
    </w:p>
  </w:endnote>
  <w:endnote w:type="continuationSeparator" w:id="0">
    <w:p w14:paraId="7319569B" w14:textId="77777777" w:rsidR="008D4C00" w:rsidRDefault="008D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A15">
      <w:rPr>
        <w:rStyle w:val="PageNumber"/>
      </w:rPr>
      <w:t>1</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43BAE" w14:textId="77777777" w:rsidR="008D4C00" w:rsidRDefault="008D4C00">
      <w:r>
        <w:separator/>
      </w:r>
    </w:p>
  </w:footnote>
  <w:footnote w:type="continuationSeparator" w:id="0">
    <w:p w14:paraId="1AA156D9" w14:textId="77777777" w:rsidR="008D4C00" w:rsidRDefault="008D4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3241"/>
    <w:multiLevelType w:val="hybridMultilevel"/>
    <w:tmpl w:val="31E8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123A"/>
    <w:multiLevelType w:val="hybridMultilevel"/>
    <w:tmpl w:val="FA285AE0"/>
    <w:lvl w:ilvl="0" w:tplc="95962D8A">
      <w:start w:val="1"/>
      <w:numFmt w:val="bullet"/>
      <w:lvlText w:val="•"/>
      <w:lvlJc w:val="left"/>
      <w:pPr>
        <w:tabs>
          <w:tab w:val="num" w:pos="720"/>
        </w:tabs>
        <w:ind w:left="720" w:hanging="360"/>
      </w:pPr>
      <w:rPr>
        <w:rFonts w:ascii="Arial" w:hAnsi="Arial" w:hint="default"/>
      </w:rPr>
    </w:lvl>
    <w:lvl w:ilvl="1" w:tplc="834C7782">
      <w:numFmt w:val="bullet"/>
      <w:lvlText w:val="•"/>
      <w:lvlJc w:val="left"/>
      <w:pPr>
        <w:tabs>
          <w:tab w:val="num" w:pos="1440"/>
        </w:tabs>
        <w:ind w:left="1440" w:hanging="360"/>
      </w:pPr>
      <w:rPr>
        <w:rFonts w:ascii="Arial" w:hAnsi="Arial" w:hint="default"/>
      </w:rPr>
    </w:lvl>
    <w:lvl w:ilvl="2" w:tplc="16145FCA">
      <w:numFmt w:val="bullet"/>
      <w:lvlText w:val="•"/>
      <w:lvlJc w:val="left"/>
      <w:pPr>
        <w:tabs>
          <w:tab w:val="num" w:pos="2160"/>
        </w:tabs>
        <w:ind w:left="2160" w:hanging="360"/>
      </w:pPr>
      <w:rPr>
        <w:rFonts w:ascii="Arial" w:hAnsi="Arial" w:hint="default"/>
      </w:rPr>
    </w:lvl>
    <w:lvl w:ilvl="3" w:tplc="431CF3CC" w:tentative="1">
      <w:start w:val="1"/>
      <w:numFmt w:val="bullet"/>
      <w:lvlText w:val="•"/>
      <w:lvlJc w:val="left"/>
      <w:pPr>
        <w:tabs>
          <w:tab w:val="num" w:pos="2880"/>
        </w:tabs>
        <w:ind w:left="2880" w:hanging="360"/>
      </w:pPr>
      <w:rPr>
        <w:rFonts w:ascii="Arial" w:hAnsi="Arial" w:hint="default"/>
      </w:rPr>
    </w:lvl>
    <w:lvl w:ilvl="4" w:tplc="5EDE06BC" w:tentative="1">
      <w:start w:val="1"/>
      <w:numFmt w:val="bullet"/>
      <w:lvlText w:val="•"/>
      <w:lvlJc w:val="left"/>
      <w:pPr>
        <w:tabs>
          <w:tab w:val="num" w:pos="3600"/>
        </w:tabs>
        <w:ind w:left="3600" w:hanging="360"/>
      </w:pPr>
      <w:rPr>
        <w:rFonts w:ascii="Arial" w:hAnsi="Arial" w:hint="default"/>
      </w:rPr>
    </w:lvl>
    <w:lvl w:ilvl="5" w:tplc="BC2C8C06" w:tentative="1">
      <w:start w:val="1"/>
      <w:numFmt w:val="bullet"/>
      <w:lvlText w:val="•"/>
      <w:lvlJc w:val="left"/>
      <w:pPr>
        <w:tabs>
          <w:tab w:val="num" w:pos="4320"/>
        </w:tabs>
        <w:ind w:left="4320" w:hanging="360"/>
      </w:pPr>
      <w:rPr>
        <w:rFonts w:ascii="Arial" w:hAnsi="Arial" w:hint="default"/>
      </w:rPr>
    </w:lvl>
    <w:lvl w:ilvl="6" w:tplc="3F16A6A2" w:tentative="1">
      <w:start w:val="1"/>
      <w:numFmt w:val="bullet"/>
      <w:lvlText w:val="•"/>
      <w:lvlJc w:val="left"/>
      <w:pPr>
        <w:tabs>
          <w:tab w:val="num" w:pos="5040"/>
        </w:tabs>
        <w:ind w:left="5040" w:hanging="360"/>
      </w:pPr>
      <w:rPr>
        <w:rFonts w:ascii="Arial" w:hAnsi="Arial" w:hint="default"/>
      </w:rPr>
    </w:lvl>
    <w:lvl w:ilvl="7" w:tplc="09B48D8A" w:tentative="1">
      <w:start w:val="1"/>
      <w:numFmt w:val="bullet"/>
      <w:lvlText w:val="•"/>
      <w:lvlJc w:val="left"/>
      <w:pPr>
        <w:tabs>
          <w:tab w:val="num" w:pos="5760"/>
        </w:tabs>
        <w:ind w:left="5760" w:hanging="360"/>
      </w:pPr>
      <w:rPr>
        <w:rFonts w:ascii="Arial" w:hAnsi="Arial" w:hint="default"/>
      </w:rPr>
    </w:lvl>
    <w:lvl w:ilvl="8" w:tplc="686A10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7064C"/>
    <w:multiLevelType w:val="hybridMultilevel"/>
    <w:tmpl w:val="94202112"/>
    <w:lvl w:ilvl="0" w:tplc="31AE719A">
      <w:start w:val="1"/>
      <w:numFmt w:val="bullet"/>
      <w:lvlText w:val="–"/>
      <w:lvlJc w:val="left"/>
      <w:pPr>
        <w:tabs>
          <w:tab w:val="num" w:pos="360"/>
        </w:tabs>
        <w:ind w:left="360" w:hanging="360"/>
      </w:pPr>
      <w:rPr>
        <w:rFonts w:ascii="Arial" w:hAnsi="Arial" w:hint="default"/>
      </w:rPr>
    </w:lvl>
    <w:lvl w:ilvl="1" w:tplc="B2DA0B36">
      <w:start w:val="1"/>
      <w:numFmt w:val="bullet"/>
      <w:lvlText w:val="–"/>
      <w:lvlJc w:val="left"/>
      <w:pPr>
        <w:tabs>
          <w:tab w:val="num" w:pos="1080"/>
        </w:tabs>
        <w:ind w:left="1080" w:hanging="360"/>
      </w:pPr>
      <w:rPr>
        <w:rFonts w:ascii="Arial" w:hAnsi="Arial" w:hint="default"/>
      </w:rPr>
    </w:lvl>
    <w:lvl w:ilvl="2" w:tplc="51A81598">
      <w:start w:val="142"/>
      <w:numFmt w:val="bullet"/>
      <w:lvlText w:val="•"/>
      <w:lvlJc w:val="left"/>
      <w:pPr>
        <w:tabs>
          <w:tab w:val="num" w:pos="1800"/>
        </w:tabs>
        <w:ind w:left="1800" w:hanging="360"/>
      </w:pPr>
      <w:rPr>
        <w:rFonts w:ascii="Arial" w:hAnsi="Arial" w:hint="default"/>
      </w:rPr>
    </w:lvl>
    <w:lvl w:ilvl="3" w:tplc="C278ECEC" w:tentative="1">
      <w:start w:val="1"/>
      <w:numFmt w:val="bullet"/>
      <w:lvlText w:val="–"/>
      <w:lvlJc w:val="left"/>
      <w:pPr>
        <w:tabs>
          <w:tab w:val="num" w:pos="2520"/>
        </w:tabs>
        <w:ind w:left="2520" w:hanging="360"/>
      </w:pPr>
      <w:rPr>
        <w:rFonts w:ascii="Arial" w:hAnsi="Arial" w:hint="default"/>
      </w:rPr>
    </w:lvl>
    <w:lvl w:ilvl="4" w:tplc="99E0BB66" w:tentative="1">
      <w:start w:val="1"/>
      <w:numFmt w:val="bullet"/>
      <w:lvlText w:val="–"/>
      <w:lvlJc w:val="left"/>
      <w:pPr>
        <w:tabs>
          <w:tab w:val="num" w:pos="3240"/>
        </w:tabs>
        <w:ind w:left="3240" w:hanging="360"/>
      </w:pPr>
      <w:rPr>
        <w:rFonts w:ascii="Arial" w:hAnsi="Arial" w:hint="default"/>
      </w:rPr>
    </w:lvl>
    <w:lvl w:ilvl="5" w:tplc="B894A316" w:tentative="1">
      <w:start w:val="1"/>
      <w:numFmt w:val="bullet"/>
      <w:lvlText w:val="–"/>
      <w:lvlJc w:val="left"/>
      <w:pPr>
        <w:tabs>
          <w:tab w:val="num" w:pos="3960"/>
        </w:tabs>
        <w:ind w:left="3960" w:hanging="360"/>
      </w:pPr>
      <w:rPr>
        <w:rFonts w:ascii="Arial" w:hAnsi="Arial" w:hint="default"/>
      </w:rPr>
    </w:lvl>
    <w:lvl w:ilvl="6" w:tplc="1F7897F6" w:tentative="1">
      <w:start w:val="1"/>
      <w:numFmt w:val="bullet"/>
      <w:lvlText w:val="–"/>
      <w:lvlJc w:val="left"/>
      <w:pPr>
        <w:tabs>
          <w:tab w:val="num" w:pos="4680"/>
        </w:tabs>
        <w:ind w:left="4680" w:hanging="360"/>
      </w:pPr>
      <w:rPr>
        <w:rFonts w:ascii="Arial" w:hAnsi="Arial" w:hint="default"/>
      </w:rPr>
    </w:lvl>
    <w:lvl w:ilvl="7" w:tplc="3B546148" w:tentative="1">
      <w:start w:val="1"/>
      <w:numFmt w:val="bullet"/>
      <w:lvlText w:val="–"/>
      <w:lvlJc w:val="left"/>
      <w:pPr>
        <w:tabs>
          <w:tab w:val="num" w:pos="5400"/>
        </w:tabs>
        <w:ind w:left="5400" w:hanging="360"/>
      </w:pPr>
      <w:rPr>
        <w:rFonts w:ascii="Arial" w:hAnsi="Arial" w:hint="default"/>
      </w:rPr>
    </w:lvl>
    <w:lvl w:ilvl="8" w:tplc="7A86D35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DB35583"/>
    <w:multiLevelType w:val="hybridMultilevel"/>
    <w:tmpl w:val="74C63CE2"/>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31"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5558C7"/>
    <w:multiLevelType w:val="hybridMultilevel"/>
    <w:tmpl w:val="3768EFEE"/>
    <w:lvl w:ilvl="0" w:tplc="12964B88">
      <w:start w:val="1"/>
      <w:numFmt w:val="bullet"/>
      <w:lvlText w:val="•"/>
      <w:lvlJc w:val="left"/>
      <w:pPr>
        <w:tabs>
          <w:tab w:val="num" w:pos="720"/>
        </w:tabs>
        <w:ind w:left="720" w:hanging="360"/>
      </w:pPr>
      <w:rPr>
        <w:rFonts w:ascii="Arial" w:hAnsi="Arial" w:hint="default"/>
      </w:rPr>
    </w:lvl>
    <w:lvl w:ilvl="1" w:tplc="32A659E4" w:tentative="1">
      <w:start w:val="1"/>
      <w:numFmt w:val="bullet"/>
      <w:lvlText w:val="•"/>
      <w:lvlJc w:val="left"/>
      <w:pPr>
        <w:tabs>
          <w:tab w:val="num" w:pos="1440"/>
        </w:tabs>
        <w:ind w:left="1440" w:hanging="360"/>
      </w:pPr>
      <w:rPr>
        <w:rFonts w:ascii="Arial" w:hAnsi="Arial" w:hint="default"/>
      </w:rPr>
    </w:lvl>
    <w:lvl w:ilvl="2" w:tplc="04A0AF68" w:tentative="1">
      <w:start w:val="1"/>
      <w:numFmt w:val="bullet"/>
      <w:lvlText w:val="•"/>
      <w:lvlJc w:val="left"/>
      <w:pPr>
        <w:tabs>
          <w:tab w:val="num" w:pos="2160"/>
        </w:tabs>
        <w:ind w:left="2160" w:hanging="360"/>
      </w:pPr>
      <w:rPr>
        <w:rFonts w:ascii="Arial" w:hAnsi="Arial" w:hint="default"/>
      </w:rPr>
    </w:lvl>
    <w:lvl w:ilvl="3" w:tplc="D4AC6560" w:tentative="1">
      <w:start w:val="1"/>
      <w:numFmt w:val="bullet"/>
      <w:lvlText w:val="•"/>
      <w:lvlJc w:val="left"/>
      <w:pPr>
        <w:tabs>
          <w:tab w:val="num" w:pos="2880"/>
        </w:tabs>
        <w:ind w:left="2880" w:hanging="360"/>
      </w:pPr>
      <w:rPr>
        <w:rFonts w:ascii="Arial" w:hAnsi="Arial" w:hint="default"/>
      </w:rPr>
    </w:lvl>
    <w:lvl w:ilvl="4" w:tplc="6EB8262E" w:tentative="1">
      <w:start w:val="1"/>
      <w:numFmt w:val="bullet"/>
      <w:lvlText w:val="•"/>
      <w:lvlJc w:val="left"/>
      <w:pPr>
        <w:tabs>
          <w:tab w:val="num" w:pos="3600"/>
        </w:tabs>
        <w:ind w:left="3600" w:hanging="360"/>
      </w:pPr>
      <w:rPr>
        <w:rFonts w:ascii="Arial" w:hAnsi="Arial" w:hint="default"/>
      </w:rPr>
    </w:lvl>
    <w:lvl w:ilvl="5" w:tplc="1D547C4E" w:tentative="1">
      <w:start w:val="1"/>
      <w:numFmt w:val="bullet"/>
      <w:lvlText w:val="•"/>
      <w:lvlJc w:val="left"/>
      <w:pPr>
        <w:tabs>
          <w:tab w:val="num" w:pos="4320"/>
        </w:tabs>
        <w:ind w:left="4320" w:hanging="360"/>
      </w:pPr>
      <w:rPr>
        <w:rFonts w:ascii="Arial" w:hAnsi="Arial" w:hint="default"/>
      </w:rPr>
    </w:lvl>
    <w:lvl w:ilvl="6" w:tplc="46FA512E" w:tentative="1">
      <w:start w:val="1"/>
      <w:numFmt w:val="bullet"/>
      <w:lvlText w:val="•"/>
      <w:lvlJc w:val="left"/>
      <w:pPr>
        <w:tabs>
          <w:tab w:val="num" w:pos="5040"/>
        </w:tabs>
        <w:ind w:left="5040" w:hanging="360"/>
      </w:pPr>
      <w:rPr>
        <w:rFonts w:ascii="Arial" w:hAnsi="Arial" w:hint="default"/>
      </w:rPr>
    </w:lvl>
    <w:lvl w:ilvl="7" w:tplc="B9709A20" w:tentative="1">
      <w:start w:val="1"/>
      <w:numFmt w:val="bullet"/>
      <w:lvlText w:val="•"/>
      <w:lvlJc w:val="left"/>
      <w:pPr>
        <w:tabs>
          <w:tab w:val="num" w:pos="5760"/>
        </w:tabs>
        <w:ind w:left="5760" w:hanging="360"/>
      </w:pPr>
      <w:rPr>
        <w:rFonts w:ascii="Arial" w:hAnsi="Arial" w:hint="default"/>
      </w:rPr>
    </w:lvl>
    <w:lvl w:ilvl="8" w:tplc="30360F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62DC8"/>
    <w:multiLevelType w:val="hybridMultilevel"/>
    <w:tmpl w:val="39F8621A"/>
    <w:lvl w:ilvl="0" w:tplc="069CE88C">
      <w:start w:val="1"/>
      <w:numFmt w:val="bullet"/>
      <w:lvlText w:val="•"/>
      <w:lvlJc w:val="left"/>
      <w:pPr>
        <w:tabs>
          <w:tab w:val="num" w:pos="720"/>
        </w:tabs>
        <w:ind w:left="720" w:hanging="360"/>
      </w:pPr>
      <w:rPr>
        <w:rFonts w:ascii="Arial" w:hAnsi="Arial" w:hint="default"/>
      </w:rPr>
    </w:lvl>
    <w:lvl w:ilvl="1" w:tplc="E2E02FEE">
      <w:start w:val="142"/>
      <w:numFmt w:val="bullet"/>
      <w:lvlText w:val="–"/>
      <w:lvlJc w:val="left"/>
      <w:pPr>
        <w:tabs>
          <w:tab w:val="num" w:pos="1440"/>
        </w:tabs>
        <w:ind w:left="1440" w:hanging="360"/>
      </w:pPr>
      <w:rPr>
        <w:rFonts w:ascii="Arial" w:hAnsi="Arial" w:hint="default"/>
      </w:rPr>
    </w:lvl>
    <w:lvl w:ilvl="2" w:tplc="3640C4F2" w:tentative="1">
      <w:start w:val="1"/>
      <w:numFmt w:val="bullet"/>
      <w:lvlText w:val="•"/>
      <w:lvlJc w:val="left"/>
      <w:pPr>
        <w:tabs>
          <w:tab w:val="num" w:pos="2160"/>
        </w:tabs>
        <w:ind w:left="2160" w:hanging="360"/>
      </w:pPr>
      <w:rPr>
        <w:rFonts w:ascii="Arial" w:hAnsi="Arial" w:hint="default"/>
      </w:rPr>
    </w:lvl>
    <w:lvl w:ilvl="3" w:tplc="2130AC16" w:tentative="1">
      <w:start w:val="1"/>
      <w:numFmt w:val="bullet"/>
      <w:lvlText w:val="•"/>
      <w:lvlJc w:val="left"/>
      <w:pPr>
        <w:tabs>
          <w:tab w:val="num" w:pos="2880"/>
        </w:tabs>
        <w:ind w:left="2880" w:hanging="360"/>
      </w:pPr>
      <w:rPr>
        <w:rFonts w:ascii="Arial" w:hAnsi="Arial" w:hint="default"/>
      </w:rPr>
    </w:lvl>
    <w:lvl w:ilvl="4" w:tplc="54D00232" w:tentative="1">
      <w:start w:val="1"/>
      <w:numFmt w:val="bullet"/>
      <w:lvlText w:val="•"/>
      <w:lvlJc w:val="left"/>
      <w:pPr>
        <w:tabs>
          <w:tab w:val="num" w:pos="3600"/>
        </w:tabs>
        <w:ind w:left="3600" w:hanging="360"/>
      </w:pPr>
      <w:rPr>
        <w:rFonts w:ascii="Arial" w:hAnsi="Arial" w:hint="default"/>
      </w:rPr>
    </w:lvl>
    <w:lvl w:ilvl="5" w:tplc="B512E7C8" w:tentative="1">
      <w:start w:val="1"/>
      <w:numFmt w:val="bullet"/>
      <w:lvlText w:val="•"/>
      <w:lvlJc w:val="left"/>
      <w:pPr>
        <w:tabs>
          <w:tab w:val="num" w:pos="4320"/>
        </w:tabs>
        <w:ind w:left="4320" w:hanging="360"/>
      </w:pPr>
      <w:rPr>
        <w:rFonts w:ascii="Arial" w:hAnsi="Arial" w:hint="default"/>
      </w:rPr>
    </w:lvl>
    <w:lvl w:ilvl="6" w:tplc="A17EDADE" w:tentative="1">
      <w:start w:val="1"/>
      <w:numFmt w:val="bullet"/>
      <w:lvlText w:val="•"/>
      <w:lvlJc w:val="left"/>
      <w:pPr>
        <w:tabs>
          <w:tab w:val="num" w:pos="5040"/>
        </w:tabs>
        <w:ind w:left="5040" w:hanging="360"/>
      </w:pPr>
      <w:rPr>
        <w:rFonts w:ascii="Arial" w:hAnsi="Arial" w:hint="default"/>
      </w:rPr>
    </w:lvl>
    <w:lvl w:ilvl="7" w:tplc="1D92E3DC" w:tentative="1">
      <w:start w:val="1"/>
      <w:numFmt w:val="bullet"/>
      <w:lvlText w:val="•"/>
      <w:lvlJc w:val="left"/>
      <w:pPr>
        <w:tabs>
          <w:tab w:val="num" w:pos="5760"/>
        </w:tabs>
        <w:ind w:left="5760" w:hanging="360"/>
      </w:pPr>
      <w:rPr>
        <w:rFonts w:ascii="Arial" w:hAnsi="Arial" w:hint="default"/>
      </w:rPr>
    </w:lvl>
    <w:lvl w:ilvl="8" w:tplc="210C1D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2"/>
  </w:num>
  <w:num w:numId="3">
    <w:abstractNumId w:val="37"/>
  </w:num>
  <w:num w:numId="4">
    <w:abstractNumId w:val="43"/>
  </w:num>
  <w:num w:numId="5">
    <w:abstractNumId w:val="29"/>
  </w:num>
  <w:num w:numId="6">
    <w:abstractNumId w:val="17"/>
  </w:num>
  <w:num w:numId="7">
    <w:abstractNumId w:val="8"/>
  </w:num>
  <w:num w:numId="8">
    <w:abstractNumId w:val="35"/>
  </w:num>
  <w:num w:numId="9">
    <w:abstractNumId w:val="19"/>
  </w:num>
  <w:num w:numId="10">
    <w:abstractNumId w:val="26"/>
  </w:num>
  <w:num w:numId="11">
    <w:abstractNumId w:val="44"/>
  </w:num>
  <w:num w:numId="12">
    <w:abstractNumId w:val="7"/>
  </w:num>
  <w:num w:numId="13">
    <w:abstractNumId w:val="6"/>
  </w:num>
  <w:num w:numId="14">
    <w:abstractNumId w:val="21"/>
  </w:num>
  <w:num w:numId="15">
    <w:abstractNumId w:val="25"/>
  </w:num>
  <w:num w:numId="16">
    <w:abstractNumId w:val="13"/>
  </w:num>
  <w:num w:numId="17">
    <w:abstractNumId w:val="41"/>
  </w:num>
  <w:num w:numId="18">
    <w:abstractNumId w:val="18"/>
  </w:num>
  <w:num w:numId="19">
    <w:abstractNumId w:val="2"/>
  </w:num>
  <w:num w:numId="20">
    <w:abstractNumId w:val="12"/>
  </w:num>
  <w:num w:numId="21">
    <w:abstractNumId w:val="14"/>
  </w:num>
  <w:num w:numId="22">
    <w:abstractNumId w:val="3"/>
  </w:num>
  <w:num w:numId="23">
    <w:abstractNumId w:val="11"/>
  </w:num>
  <w:num w:numId="24">
    <w:abstractNumId w:val="15"/>
  </w:num>
  <w:num w:numId="25">
    <w:abstractNumId w:val="36"/>
  </w:num>
  <w:num w:numId="26">
    <w:abstractNumId w:val="20"/>
  </w:num>
  <w:num w:numId="27">
    <w:abstractNumId w:val="39"/>
  </w:num>
  <w:num w:numId="28">
    <w:abstractNumId w:val="31"/>
  </w:num>
  <w:num w:numId="29">
    <w:abstractNumId w:val="5"/>
  </w:num>
  <w:num w:numId="30">
    <w:abstractNumId w:val="28"/>
  </w:num>
  <w:num w:numId="31">
    <w:abstractNumId w:val="10"/>
  </w:num>
  <w:num w:numId="32">
    <w:abstractNumId w:val="27"/>
  </w:num>
  <w:num w:numId="33">
    <w:abstractNumId w:val="34"/>
  </w:num>
  <w:num w:numId="34">
    <w:abstractNumId w:val="9"/>
  </w:num>
  <w:num w:numId="35">
    <w:abstractNumId w:val="23"/>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2"/>
  </w:num>
  <w:num w:numId="38">
    <w:abstractNumId w:val="38"/>
  </w:num>
  <w:num w:numId="39">
    <w:abstractNumId w:val="1"/>
  </w:num>
  <w:num w:numId="40">
    <w:abstractNumId w:val="4"/>
  </w:num>
  <w:num w:numId="41">
    <w:abstractNumId w:val="42"/>
  </w:num>
  <w:num w:numId="42">
    <w:abstractNumId w:val="33"/>
  </w:num>
  <w:num w:numId="43">
    <w:abstractNumId w:val="16"/>
  </w:num>
  <w:num w:numId="44">
    <w:abstractNumId w:val="40"/>
  </w:num>
  <w:num w:numId="45">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0DE"/>
    <w:rsid w:val="00010442"/>
    <w:rsid w:val="00010EE0"/>
    <w:rsid w:val="0001181D"/>
    <w:rsid w:val="00011B0B"/>
    <w:rsid w:val="00011C44"/>
    <w:rsid w:val="00011EBB"/>
    <w:rsid w:val="000122B2"/>
    <w:rsid w:val="000123B3"/>
    <w:rsid w:val="00012B14"/>
    <w:rsid w:val="000138F3"/>
    <w:rsid w:val="00013A12"/>
    <w:rsid w:val="0001409E"/>
    <w:rsid w:val="000142DE"/>
    <w:rsid w:val="0001465F"/>
    <w:rsid w:val="00014E79"/>
    <w:rsid w:val="00014FFF"/>
    <w:rsid w:val="000162FA"/>
    <w:rsid w:val="0001656C"/>
    <w:rsid w:val="000167F5"/>
    <w:rsid w:val="00016A3A"/>
    <w:rsid w:val="00016D5E"/>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3FF"/>
    <w:rsid w:val="000446FD"/>
    <w:rsid w:val="0004511D"/>
    <w:rsid w:val="00045318"/>
    <w:rsid w:val="00045774"/>
    <w:rsid w:val="00045F53"/>
    <w:rsid w:val="00046069"/>
    <w:rsid w:val="0004795F"/>
    <w:rsid w:val="00047A40"/>
    <w:rsid w:val="00047BD8"/>
    <w:rsid w:val="00051030"/>
    <w:rsid w:val="00052BBE"/>
    <w:rsid w:val="00053393"/>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1CDB"/>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17D"/>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3F44"/>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671"/>
    <w:rsid w:val="001F786D"/>
    <w:rsid w:val="001F7D63"/>
    <w:rsid w:val="00200D15"/>
    <w:rsid w:val="002019FF"/>
    <w:rsid w:val="00201CA6"/>
    <w:rsid w:val="00201E1D"/>
    <w:rsid w:val="0020242B"/>
    <w:rsid w:val="0020451B"/>
    <w:rsid w:val="00205462"/>
    <w:rsid w:val="00205A5F"/>
    <w:rsid w:val="00205AAE"/>
    <w:rsid w:val="002060E3"/>
    <w:rsid w:val="00206B59"/>
    <w:rsid w:val="00206D86"/>
    <w:rsid w:val="002076F3"/>
    <w:rsid w:val="00207A4A"/>
    <w:rsid w:val="00210570"/>
    <w:rsid w:val="0021083C"/>
    <w:rsid w:val="0021093C"/>
    <w:rsid w:val="00210AC9"/>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27DF0"/>
    <w:rsid w:val="00230C94"/>
    <w:rsid w:val="00230EB7"/>
    <w:rsid w:val="00230EC6"/>
    <w:rsid w:val="00231913"/>
    <w:rsid w:val="0023345A"/>
    <w:rsid w:val="00234C5F"/>
    <w:rsid w:val="0023565D"/>
    <w:rsid w:val="00236395"/>
    <w:rsid w:val="00236663"/>
    <w:rsid w:val="00236C6E"/>
    <w:rsid w:val="00236FAA"/>
    <w:rsid w:val="002370A2"/>
    <w:rsid w:val="0023771D"/>
    <w:rsid w:val="00237C95"/>
    <w:rsid w:val="00237E42"/>
    <w:rsid w:val="0024002C"/>
    <w:rsid w:val="00240451"/>
    <w:rsid w:val="00241784"/>
    <w:rsid w:val="002420FA"/>
    <w:rsid w:val="00243110"/>
    <w:rsid w:val="0024341E"/>
    <w:rsid w:val="00245579"/>
    <w:rsid w:val="002461C3"/>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2E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51C5"/>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2B6"/>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51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C47"/>
    <w:rsid w:val="003D6F0B"/>
    <w:rsid w:val="003D7142"/>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347"/>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241"/>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1B2"/>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177"/>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108D8"/>
    <w:rsid w:val="00710949"/>
    <w:rsid w:val="00710978"/>
    <w:rsid w:val="007109F2"/>
    <w:rsid w:val="007112FE"/>
    <w:rsid w:val="007113BE"/>
    <w:rsid w:val="0071157E"/>
    <w:rsid w:val="00711F11"/>
    <w:rsid w:val="00712B7E"/>
    <w:rsid w:val="00712CBA"/>
    <w:rsid w:val="0071430D"/>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273E3"/>
    <w:rsid w:val="00730403"/>
    <w:rsid w:val="00731D02"/>
    <w:rsid w:val="007326A5"/>
    <w:rsid w:val="00732840"/>
    <w:rsid w:val="0073334B"/>
    <w:rsid w:val="0073413D"/>
    <w:rsid w:val="0073419D"/>
    <w:rsid w:val="00734F83"/>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5462"/>
    <w:rsid w:val="007D6BD9"/>
    <w:rsid w:val="007D6CE6"/>
    <w:rsid w:val="007E1193"/>
    <w:rsid w:val="007E1275"/>
    <w:rsid w:val="007E1C51"/>
    <w:rsid w:val="007E211F"/>
    <w:rsid w:val="007E2178"/>
    <w:rsid w:val="007E32D9"/>
    <w:rsid w:val="007E3565"/>
    <w:rsid w:val="007E4B1F"/>
    <w:rsid w:val="007E521D"/>
    <w:rsid w:val="007E57E8"/>
    <w:rsid w:val="007E5B8D"/>
    <w:rsid w:val="007E67F4"/>
    <w:rsid w:val="007E700B"/>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701"/>
    <w:rsid w:val="008A4C71"/>
    <w:rsid w:val="008A54B9"/>
    <w:rsid w:val="008A5CD7"/>
    <w:rsid w:val="008A7D0D"/>
    <w:rsid w:val="008A7E55"/>
    <w:rsid w:val="008B00E3"/>
    <w:rsid w:val="008B0F95"/>
    <w:rsid w:val="008B13DF"/>
    <w:rsid w:val="008B1C49"/>
    <w:rsid w:val="008B1ED0"/>
    <w:rsid w:val="008B356B"/>
    <w:rsid w:val="008B3ED7"/>
    <w:rsid w:val="008B4239"/>
    <w:rsid w:val="008B4E9B"/>
    <w:rsid w:val="008B5ED3"/>
    <w:rsid w:val="008B61A2"/>
    <w:rsid w:val="008B6364"/>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4C00"/>
    <w:rsid w:val="008D59F7"/>
    <w:rsid w:val="008D5A2D"/>
    <w:rsid w:val="008D7109"/>
    <w:rsid w:val="008D78B7"/>
    <w:rsid w:val="008E0739"/>
    <w:rsid w:val="008E1130"/>
    <w:rsid w:val="008E2080"/>
    <w:rsid w:val="008E2C29"/>
    <w:rsid w:val="008E2C91"/>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1B12"/>
    <w:rsid w:val="0090247D"/>
    <w:rsid w:val="00902497"/>
    <w:rsid w:val="00903D25"/>
    <w:rsid w:val="00903EC0"/>
    <w:rsid w:val="009042F2"/>
    <w:rsid w:val="00904CAB"/>
    <w:rsid w:val="009050B8"/>
    <w:rsid w:val="00905468"/>
    <w:rsid w:val="00905AB5"/>
    <w:rsid w:val="0090617D"/>
    <w:rsid w:val="00906591"/>
    <w:rsid w:val="00906EB7"/>
    <w:rsid w:val="0090797F"/>
    <w:rsid w:val="00907CFC"/>
    <w:rsid w:val="00911040"/>
    <w:rsid w:val="0091110E"/>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0B8E"/>
    <w:rsid w:val="00A429AA"/>
    <w:rsid w:val="00A43127"/>
    <w:rsid w:val="00A431F8"/>
    <w:rsid w:val="00A43200"/>
    <w:rsid w:val="00A43791"/>
    <w:rsid w:val="00A44F91"/>
    <w:rsid w:val="00A45827"/>
    <w:rsid w:val="00A461BE"/>
    <w:rsid w:val="00A473E2"/>
    <w:rsid w:val="00A4745D"/>
    <w:rsid w:val="00A5032F"/>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97EB8"/>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1E1"/>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76"/>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DD5"/>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441F"/>
    <w:rsid w:val="00B745E0"/>
    <w:rsid w:val="00B755FD"/>
    <w:rsid w:val="00B7658D"/>
    <w:rsid w:val="00B76B53"/>
    <w:rsid w:val="00B76F26"/>
    <w:rsid w:val="00B778AA"/>
    <w:rsid w:val="00B77EF8"/>
    <w:rsid w:val="00B806A3"/>
    <w:rsid w:val="00B80E63"/>
    <w:rsid w:val="00B81794"/>
    <w:rsid w:val="00B817FD"/>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2BEC"/>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637"/>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457"/>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415"/>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58"/>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81"/>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0F6F"/>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476A"/>
    <w:rsid w:val="00ED548B"/>
    <w:rsid w:val="00ED5874"/>
    <w:rsid w:val="00ED5BDC"/>
    <w:rsid w:val="00ED5C02"/>
    <w:rsid w:val="00ED67BD"/>
    <w:rsid w:val="00ED73BB"/>
    <w:rsid w:val="00EE076E"/>
    <w:rsid w:val="00EE07FF"/>
    <w:rsid w:val="00EE0950"/>
    <w:rsid w:val="00EE1502"/>
    <w:rsid w:val="00EE249C"/>
    <w:rsid w:val="00EE38E7"/>
    <w:rsid w:val="00EE5452"/>
    <w:rsid w:val="00EE5ABD"/>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298"/>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66D6"/>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41"/>
      </w:numPr>
      <w:spacing w:before="360" w:after="240"/>
      <w:ind w:left="357" w:hanging="357"/>
      <w:jc w:val="center"/>
    </w:pPr>
    <w:rPr>
      <w:rFonts w:ascii="Arial" w:hAnsi="Arial"/>
      <w:b/>
      <w:color w:val="D2232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42053359">
      <w:bodyDiv w:val="1"/>
      <w:marLeft w:val="0"/>
      <w:marRight w:val="0"/>
      <w:marTop w:val="0"/>
      <w:marBottom w:val="0"/>
      <w:divBdr>
        <w:top w:val="none" w:sz="0" w:space="0" w:color="auto"/>
        <w:left w:val="none" w:sz="0" w:space="0" w:color="auto"/>
        <w:bottom w:val="none" w:sz="0" w:space="0" w:color="auto"/>
        <w:right w:val="none" w:sz="0" w:space="0" w:color="auto"/>
      </w:divBdr>
      <w:divsChild>
        <w:div w:id="647786040">
          <w:marLeft w:val="1166"/>
          <w:marRight w:val="0"/>
          <w:marTop w:val="96"/>
          <w:marBottom w:val="0"/>
          <w:divBdr>
            <w:top w:val="none" w:sz="0" w:space="0" w:color="auto"/>
            <w:left w:val="none" w:sz="0" w:space="0" w:color="auto"/>
            <w:bottom w:val="none" w:sz="0" w:space="0" w:color="auto"/>
            <w:right w:val="none" w:sz="0" w:space="0" w:color="auto"/>
          </w:divBdr>
        </w:div>
        <w:div w:id="218787555">
          <w:marLeft w:val="1800"/>
          <w:marRight w:val="0"/>
          <w:marTop w:val="77"/>
          <w:marBottom w:val="0"/>
          <w:divBdr>
            <w:top w:val="none" w:sz="0" w:space="0" w:color="auto"/>
            <w:left w:val="none" w:sz="0" w:space="0" w:color="auto"/>
            <w:bottom w:val="none" w:sz="0" w:space="0" w:color="auto"/>
            <w:right w:val="none" w:sz="0" w:space="0" w:color="auto"/>
          </w:divBdr>
        </w:div>
        <w:div w:id="520245718">
          <w:marLeft w:val="1800"/>
          <w:marRight w:val="0"/>
          <w:marTop w:val="77"/>
          <w:marBottom w:val="0"/>
          <w:divBdr>
            <w:top w:val="none" w:sz="0" w:space="0" w:color="auto"/>
            <w:left w:val="none" w:sz="0" w:space="0" w:color="auto"/>
            <w:bottom w:val="none" w:sz="0" w:space="0" w:color="auto"/>
            <w:right w:val="none" w:sz="0" w:space="0" w:color="auto"/>
          </w:divBdr>
        </w:div>
      </w:divsChild>
    </w:div>
    <w:div w:id="34362871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4221288">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0497989">
      <w:bodyDiv w:val="1"/>
      <w:marLeft w:val="0"/>
      <w:marRight w:val="0"/>
      <w:marTop w:val="0"/>
      <w:marBottom w:val="0"/>
      <w:divBdr>
        <w:top w:val="none" w:sz="0" w:space="0" w:color="auto"/>
        <w:left w:val="none" w:sz="0" w:space="0" w:color="auto"/>
        <w:bottom w:val="none" w:sz="0" w:space="0" w:color="auto"/>
        <w:right w:val="none" w:sz="0" w:space="0" w:color="auto"/>
      </w:divBdr>
      <w:divsChild>
        <w:div w:id="1631981536">
          <w:marLeft w:val="547"/>
          <w:marRight w:val="0"/>
          <w:marTop w:val="115"/>
          <w:marBottom w:val="0"/>
          <w:divBdr>
            <w:top w:val="none" w:sz="0" w:space="0" w:color="auto"/>
            <w:left w:val="none" w:sz="0" w:space="0" w:color="auto"/>
            <w:bottom w:val="none" w:sz="0" w:space="0" w:color="auto"/>
            <w:right w:val="none" w:sz="0" w:space="0" w:color="auto"/>
          </w:divBdr>
        </w:div>
        <w:div w:id="1386299432">
          <w:marLeft w:val="1080"/>
          <w:marRight w:val="0"/>
          <w:marTop w:val="96"/>
          <w:marBottom w:val="0"/>
          <w:divBdr>
            <w:top w:val="none" w:sz="0" w:space="0" w:color="auto"/>
            <w:left w:val="none" w:sz="0" w:space="0" w:color="auto"/>
            <w:bottom w:val="none" w:sz="0" w:space="0" w:color="auto"/>
            <w:right w:val="none" w:sz="0" w:space="0" w:color="auto"/>
          </w:divBdr>
        </w:div>
        <w:div w:id="1610699971">
          <w:marLeft w:val="1080"/>
          <w:marRight w:val="0"/>
          <w:marTop w:val="96"/>
          <w:marBottom w:val="0"/>
          <w:divBdr>
            <w:top w:val="none" w:sz="0" w:space="0" w:color="auto"/>
            <w:left w:val="none" w:sz="0" w:space="0" w:color="auto"/>
            <w:bottom w:val="none" w:sz="0" w:space="0" w:color="auto"/>
            <w:right w:val="none" w:sz="0" w:space="0" w:color="auto"/>
          </w:divBdr>
        </w:div>
      </w:divsChild>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C683E16-6879-4F24-AF4B-EBAB662E0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356</TotalTime>
  <Pages>4</Pages>
  <Words>1522</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Marco Papaleo</cp:lastModifiedBy>
  <cp:revision>23</cp:revision>
  <cp:lastPrinted>2018-04-05T14:47:00Z</cp:lastPrinted>
  <dcterms:created xsi:type="dcterms:W3CDTF">2018-04-04T10:56:00Z</dcterms:created>
  <dcterms:modified xsi:type="dcterms:W3CDTF">2018-04-06T17:44:00Z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